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083A" w14:textId="77777777" w:rsidR="00347D70" w:rsidRDefault="00347D70">
      <w:pPr>
        <w:jc w:val="center"/>
        <w:rPr>
          <w:b/>
        </w:rPr>
      </w:pPr>
    </w:p>
    <w:p w14:paraId="3E31E228" w14:textId="66839E91" w:rsidR="00CF698F" w:rsidRDefault="00000000">
      <w:pPr>
        <w:jc w:val="center"/>
      </w:pPr>
      <w:r>
        <w:rPr>
          <w:b/>
        </w:rPr>
        <w:t xml:space="preserve">OBRAZLOŽENJE POLUGODIŠNJEG IZVJEŠTAJA O </w:t>
      </w:r>
    </w:p>
    <w:p w14:paraId="1ABDDE98" w14:textId="040E4F1A" w:rsidR="00CF698F" w:rsidRDefault="00000000">
      <w:pPr>
        <w:jc w:val="center"/>
      </w:pPr>
      <w:r>
        <w:rPr>
          <w:b/>
        </w:rPr>
        <w:t>IZVRŠENJU FINANCIJSKOG PLANA DJEČJEG VRTIĆA VLAKIĆ MARTIJANEC ZA RAZDOBLJE OD 01.01.202</w:t>
      </w:r>
      <w:r w:rsidR="00592C45">
        <w:rPr>
          <w:b/>
        </w:rPr>
        <w:t>5</w:t>
      </w:r>
      <w:r>
        <w:rPr>
          <w:b/>
        </w:rPr>
        <w:t>. DO 30.06.202</w:t>
      </w:r>
      <w:r w:rsidR="00592C45">
        <w:rPr>
          <w:b/>
        </w:rPr>
        <w:t>5</w:t>
      </w:r>
      <w:r>
        <w:rPr>
          <w:b/>
        </w:rPr>
        <w:t>. GODINE</w:t>
      </w:r>
    </w:p>
    <w:p w14:paraId="01111A54" w14:textId="77777777" w:rsidR="00CF698F" w:rsidRDefault="00CF698F">
      <w:pPr>
        <w:rPr>
          <w:b/>
          <w:sz w:val="22"/>
          <w:szCs w:val="22"/>
        </w:rPr>
      </w:pPr>
    </w:p>
    <w:p w14:paraId="082BC955" w14:textId="7629A0E7" w:rsidR="00CF698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Sukladno odredbama članka 81. – 86. Zakona o proračunu (NN br. 144/21) daje se Polugodišnji izvještaj o izvršenju Financijskog plana Dječjeg vrtića Vlakić Martijanec za razdoblje od 01.01.202</w:t>
      </w:r>
      <w:r w:rsidR="00592C45">
        <w:rPr>
          <w:sz w:val="22"/>
          <w:szCs w:val="22"/>
        </w:rPr>
        <w:t>5</w:t>
      </w:r>
      <w:r>
        <w:rPr>
          <w:sz w:val="22"/>
          <w:szCs w:val="22"/>
        </w:rPr>
        <w:t>. do 30.06.202</w:t>
      </w:r>
      <w:r w:rsidR="00592C45">
        <w:rPr>
          <w:sz w:val="22"/>
          <w:szCs w:val="22"/>
        </w:rPr>
        <w:t>5</w:t>
      </w:r>
      <w:r>
        <w:rPr>
          <w:sz w:val="22"/>
          <w:szCs w:val="22"/>
        </w:rPr>
        <w:t xml:space="preserve">. godine. godine koji sadrži: </w:t>
      </w:r>
    </w:p>
    <w:p w14:paraId="12D779EE" w14:textId="77777777" w:rsidR="00CF698F" w:rsidRDefault="00000000">
      <w:pPr>
        <w:numPr>
          <w:ilvl w:val="0"/>
          <w:numId w:val="1"/>
        </w:numPr>
        <w:jc w:val="both"/>
      </w:pPr>
      <w:r>
        <w:rPr>
          <w:sz w:val="22"/>
          <w:szCs w:val="22"/>
        </w:rPr>
        <w:t>Opći dio financijskog plana kojeg čini Račun prihoda i rashoda i Račun financiranja (Račun prihoda i rashoda sastoji se od prihoda i rashoda iskazanih prema izvorima financiranja i ekonomskoj klasifikaciji te rashoda iskazanih prema funkcijskoj klasifikaciji),</w:t>
      </w:r>
    </w:p>
    <w:p w14:paraId="6F6D5957" w14:textId="77777777" w:rsidR="00CF698F" w:rsidRDefault="00000000">
      <w:pPr>
        <w:numPr>
          <w:ilvl w:val="0"/>
          <w:numId w:val="1"/>
        </w:numPr>
        <w:jc w:val="both"/>
      </w:pPr>
      <w:r>
        <w:rPr>
          <w:sz w:val="22"/>
          <w:szCs w:val="22"/>
        </w:rPr>
        <w:t>Posebni dio financijskog plana koji sadrži izvršenje rashoda i izdataka iskazanih po izvorima financiranja i ekonomskoj klasifikaciji, raspoređenih u programe, koji se sastoje od aktivnosti i projekata,</w:t>
      </w:r>
    </w:p>
    <w:p w14:paraId="510957CD" w14:textId="77777777" w:rsidR="00CF698F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Obrazloženje polugodišnjeg izvještaja,</w:t>
      </w:r>
    </w:p>
    <w:p w14:paraId="6E7A38FF" w14:textId="77777777" w:rsidR="00CF698F" w:rsidRDefault="00000000">
      <w:pPr>
        <w:numPr>
          <w:ilvl w:val="0"/>
          <w:numId w:val="1"/>
        </w:numPr>
        <w:jc w:val="both"/>
      </w:pPr>
      <w:r>
        <w:rPr>
          <w:sz w:val="22"/>
          <w:szCs w:val="22"/>
        </w:rPr>
        <w:t>Izvještaj o korištenju sredstava fondova Europske unije,</w:t>
      </w:r>
    </w:p>
    <w:p w14:paraId="61E9938F" w14:textId="77777777" w:rsidR="00CF698F" w:rsidRDefault="00000000">
      <w:pPr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Izvještaj o zaduživanju na domaćem i stranom tržištu novca i kapitala, </w:t>
      </w:r>
    </w:p>
    <w:p w14:paraId="58CEB7C7" w14:textId="77777777" w:rsidR="00CF698F" w:rsidRDefault="00000000">
      <w:pPr>
        <w:numPr>
          <w:ilvl w:val="0"/>
          <w:numId w:val="1"/>
        </w:numPr>
        <w:jc w:val="both"/>
      </w:pPr>
      <w:r>
        <w:rPr>
          <w:sz w:val="22"/>
          <w:szCs w:val="22"/>
        </w:rPr>
        <w:t>Izvještaj o danim zajmovima i potraživanjima po danim jamstvima,</w:t>
      </w:r>
    </w:p>
    <w:p w14:paraId="0D6D3D8A" w14:textId="77777777" w:rsidR="00CF698F" w:rsidRPr="005E22D6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Izvještaj o stanju potraživanja i dospjelih obveza te o stanju potencijalnih obveza po osnovi sudskih </w:t>
      </w:r>
      <w:r w:rsidRPr="005E22D6">
        <w:rPr>
          <w:sz w:val="22"/>
          <w:szCs w:val="22"/>
        </w:rPr>
        <w:t>sporova.</w:t>
      </w:r>
    </w:p>
    <w:p w14:paraId="32DE8E5B" w14:textId="77777777" w:rsidR="00CF698F" w:rsidRPr="005E22D6" w:rsidRDefault="00CF698F">
      <w:pPr>
        <w:pStyle w:val="Odlomakpopisa"/>
        <w:ind w:left="360"/>
        <w:jc w:val="both"/>
        <w:rPr>
          <w:sz w:val="22"/>
          <w:szCs w:val="22"/>
        </w:rPr>
      </w:pPr>
    </w:p>
    <w:p w14:paraId="1F080DE1" w14:textId="5A65387A" w:rsidR="00CF698F" w:rsidRPr="005E22D6" w:rsidRDefault="00000000">
      <w:pPr>
        <w:pStyle w:val="Odlomakpopisa"/>
        <w:ind w:left="0"/>
        <w:jc w:val="both"/>
        <w:rPr>
          <w:sz w:val="22"/>
          <w:szCs w:val="22"/>
        </w:rPr>
      </w:pPr>
      <w:r w:rsidRPr="005E22D6">
        <w:rPr>
          <w:sz w:val="22"/>
          <w:szCs w:val="22"/>
        </w:rPr>
        <w:t>Financijski plana Dječjeg vrtića Vlakić Martijanec za 202</w:t>
      </w:r>
      <w:r w:rsidR="00592C45">
        <w:rPr>
          <w:sz w:val="22"/>
          <w:szCs w:val="22"/>
        </w:rPr>
        <w:t>5</w:t>
      </w:r>
      <w:r w:rsidRPr="005E22D6">
        <w:rPr>
          <w:sz w:val="22"/>
          <w:szCs w:val="22"/>
        </w:rPr>
        <w:t>. i projekcije za 202</w:t>
      </w:r>
      <w:r w:rsidR="00592C45">
        <w:rPr>
          <w:sz w:val="22"/>
          <w:szCs w:val="22"/>
        </w:rPr>
        <w:t>6</w:t>
      </w:r>
      <w:r w:rsidRPr="005E22D6">
        <w:rPr>
          <w:sz w:val="22"/>
          <w:szCs w:val="22"/>
        </w:rPr>
        <w:t>. i 202</w:t>
      </w:r>
      <w:r w:rsidR="00592C45">
        <w:rPr>
          <w:sz w:val="22"/>
          <w:szCs w:val="22"/>
        </w:rPr>
        <w:t>7</w:t>
      </w:r>
      <w:r w:rsidRPr="005E22D6">
        <w:rPr>
          <w:sz w:val="22"/>
          <w:szCs w:val="22"/>
        </w:rPr>
        <w:t>. godinu</w:t>
      </w:r>
      <w:r w:rsidR="00236622" w:rsidRPr="005E22D6">
        <w:rPr>
          <w:sz w:val="22"/>
          <w:szCs w:val="22"/>
        </w:rPr>
        <w:t xml:space="preserve"> </w:t>
      </w:r>
      <w:r w:rsidRPr="005E22D6">
        <w:rPr>
          <w:sz w:val="22"/>
          <w:szCs w:val="22"/>
        </w:rPr>
        <w:t xml:space="preserve">donesen je na </w:t>
      </w:r>
      <w:r w:rsidR="00592C45">
        <w:rPr>
          <w:sz w:val="22"/>
          <w:szCs w:val="22"/>
        </w:rPr>
        <w:t>2</w:t>
      </w:r>
      <w:r w:rsidRPr="005E22D6">
        <w:rPr>
          <w:sz w:val="22"/>
          <w:szCs w:val="22"/>
        </w:rPr>
        <w:t xml:space="preserve">. sjednici Upravnog vijeća Dječjeg vrtića Vlakić Martijanec dana </w:t>
      </w:r>
      <w:r w:rsidR="00592C45">
        <w:rPr>
          <w:sz w:val="22"/>
          <w:szCs w:val="22"/>
        </w:rPr>
        <w:t>15</w:t>
      </w:r>
      <w:r w:rsidRPr="005E22D6">
        <w:rPr>
          <w:sz w:val="22"/>
          <w:szCs w:val="22"/>
        </w:rPr>
        <w:t xml:space="preserve">. </w:t>
      </w:r>
      <w:r w:rsidR="005E22D6" w:rsidRPr="005E22D6">
        <w:rPr>
          <w:sz w:val="22"/>
          <w:szCs w:val="22"/>
        </w:rPr>
        <w:t>studenog</w:t>
      </w:r>
      <w:r w:rsidRPr="005E22D6">
        <w:rPr>
          <w:sz w:val="22"/>
          <w:szCs w:val="22"/>
        </w:rPr>
        <w:t xml:space="preserve"> 202</w:t>
      </w:r>
      <w:r w:rsidR="00592C45">
        <w:rPr>
          <w:sz w:val="22"/>
          <w:szCs w:val="22"/>
        </w:rPr>
        <w:t>4</w:t>
      </w:r>
      <w:r w:rsidRPr="005E22D6">
        <w:rPr>
          <w:sz w:val="22"/>
          <w:szCs w:val="22"/>
        </w:rPr>
        <w:t>. godine.</w:t>
      </w:r>
    </w:p>
    <w:p w14:paraId="13093BE5" w14:textId="77777777" w:rsidR="00CF698F" w:rsidRPr="005E22D6" w:rsidRDefault="00CF698F">
      <w:pPr>
        <w:ind w:left="754"/>
        <w:jc w:val="both"/>
        <w:rPr>
          <w:sz w:val="22"/>
          <w:szCs w:val="22"/>
        </w:rPr>
      </w:pPr>
    </w:p>
    <w:p w14:paraId="644B7AC9" w14:textId="77777777" w:rsidR="00CF698F" w:rsidRPr="005E22D6" w:rsidRDefault="00CF698F">
      <w:pPr>
        <w:tabs>
          <w:tab w:val="right" w:pos="6237"/>
          <w:tab w:val="right" w:pos="8789"/>
        </w:tabs>
        <w:jc w:val="center"/>
        <w:rPr>
          <w:b/>
          <w:sz w:val="22"/>
          <w:szCs w:val="22"/>
        </w:rPr>
      </w:pPr>
    </w:p>
    <w:p w14:paraId="3EB24C82" w14:textId="77777777" w:rsidR="00CF698F" w:rsidRPr="00592C45" w:rsidRDefault="00000000">
      <w:pPr>
        <w:tabs>
          <w:tab w:val="right" w:pos="6237"/>
          <w:tab w:val="right" w:pos="8789"/>
        </w:tabs>
        <w:jc w:val="center"/>
        <w:rPr>
          <w:b/>
          <w:sz w:val="22"/>
          <w:szCs w:val="22"/>
        </w:rPr>
      </w:pPr>
      <w:r w:rsidRPr="00592C45">
        <w:rPr>
          <w:b/>
          <w:sz w:val="22"/>
          <w:szCs w:val="22"/>
        </w:rPr>
        <w:t>1. OPĆI DIO PRORAČUNA</w:t>
      </w:r>
    </w:p>
    <w:p w14:paraId="592DE8BF" w14:textId="77777777" w:rsidR="00CF698F" w:rsidRPr="00592C45" w:rsidRDefault="00CF698F">
      <w:pPr>
        <w:tabs>
          <w:tab w:val="right" w:pos="6237"/>
          <w:tab w:val="right" w:pos="8789"/>
        </w:tabs>
        <w:jc w:val="center"/>
        <w:rPr>
          <w:b/>
          <w:sz w:val="22"/>
          <w:szCs w:val="22"/>
        </w:rPr>
      </w:pPr>
    </w:p>
    <w:p w14:paraId="5146D934" w14:textId="77777777" w:rsidR="00CF698F" w:rsidRPr="00592C45" w:rsidRDefault="00000000">
      <w:pPr>
        <w:tabs>
          <w:tab w:val="right" w:pos="6237"/>
          <w:tab w:val="right" w:pos="8789"/>
        </w:tabs>
        <w:jc w:val="both"/>
        <w:rPr>
          <w:b/>
          <w:sz w:val="22"/>
          <w:szCs w:val="22"/>
        </w:rPr>
      </w:pPr>
      <w:r w:rsidRPr="00592C45">
        <w:rPr>
          <w:b/>
          <w:sz w:val="22"/>
          <w:szCs w:val="22"/>
        </w:rPr>
        <w:t>Račun prihoda i rashoda</w:t>
      </w:r>
    </w:p>
    <w:p w14:paraId="2607765C" w14:textId="77777777" w:rsidR="00CF698F" w:rsidRPr="001B7E23" w:rsidRDefault="00CF698F">
      <w:pPr>
        <w:tabs>
          <w:tab w:val="right" w:pos="6237"/>
          <w:tab w:val="right" w:pos="8789"/>
        </w:tabs>
        <w:jc w:val="both"/>
        <w:rPr>
          <w:b/>
          <w:sz w:val="22"/>
          <w:szCs w:val="22"/>
        </w:rPr>
      </w:pPr>
    </w:p>
    <w:p w14:paraId="0754726E" w14:textId="69F74AF1" w:rsidR="00CF698F" w:rsidRPr="00592C45" w:rsidRDefault="00000000">
      <w:pPr>
        <w:contextualSpacing/>
        <w:jc w:val="both"/>
        <w:rPr>
          <w:color w:val="EE0000"/>
          <w:sz w:val="22"/>
          <w:szCs w:val="22"/>
        </w:rPr>
      </w:pPr>
      <w:r w:rsidRPr="001B7E23">
        <w:rPr>
          <w:sz w:val="22"/>
          <w:szCs w:val="22"/>
        </w:rPr>
        <w:t xml:space="preserve">U izvještajnom razdoblju prihodi poslovanja ostvareni su u iznosu od </w:t>
      </w:r>
      <w:r w:rsidR="001B7E23" w:rsidRPr="001B7E23">
        <w:rPr>
          <w:sz w:val="22"/>
          <w:szCs w:val="22"/>
        </w:rPr>
        <w:t>285.577,00</w:t>
      </w:r>
      <w:r w:rsidRPr="001B7E23">
        <w:rPr>
          <w:sz w:val="22"/>
          <w:szCs w:val="22"/>
        </w:rPr>
        <w:t xml:space="preserve"> eura dok su rashodi poslovanja </w:t>
      </w:r>
      <w:r w:rsidRPr="00054641">
        <w:rPr>
          <w:sz w:val="22"/>
          <w:szCs w:val="22"/>
        </w:rPr>
        <w:t xml:space="preserve">realizirani u iznosu od </w:t>
      </w:r>
      <w:r w:rsidR="005E22D6" w:rsidRPr="00054641">
        <w:rPr>
          <w:sz w:val="22"/>
          <w:szCs w:val="22"/>
        </w:rPr>
        <w:t>2</w:t>
      </w:r>
      <w:r w:rsidR="001B7E23" w:rsidRPr="00054641">
        <w:rPr>
          <w:sz w:val="22"/>
          <w:szCs w:val="22"/>
        </w:rPr>
        <w:t>72.513,57</w:t>
      </w:r>
      <w:r w:rsidRPr="00054641">
        <w:rPr>
          <w:sz w:val="22"/>
          <w:szCs w:val="22"/>
        </w:rPr>
        <w:t xml:space="preserve"> eura. Prihodi od prodaje nefinancijske imovine</w:t>
      </w:r>
      <w:r w:rsidR="00054641" w:rsidRPr="00054641">
        <w:rPr>
          <w:sz w:val="22"/>
          <w:szCs w:val="22"/>
        </w:rPr>
        <w:t>,</w:t>
      </w:r>
      <w:r w:rsidRPr="00054641">
        <w:rPr>
          <w:sz w:val="22"/>
          <w:szCs w:val="22"/>
        </w:rPr>
        <w:t xml:space="preserve"> rashodi za nabavu nefinancijske imovine</w:t>
      </w:r>
      <w:r w:rsidR="00054641" w:rsidRPr="00054641">
        <w:rPr>
          <w:sz w:val="22"/>
          <w:szCs w:val="22"/>
        </w:rPr>
        <w:t>, p</w:t>
      </w:r>
      <w:r w:rsidRPr="00054641">
        <w:rPr>
          <w:sz w:val="22"/>
          <w:szCs w:val="22"/>
        </w:rPr>
        <w:t>rimici i izdaci u izvještajnom razdoblju nisu ostvareni. Uz preneseni višak iz prethodne godine od</w:t>
      </w:r>
      <w:r w:rsidR="00054641" w:rsidRPr="00054641">
        <w:rPr>
          <w:sz w:val="22"/>
          <w:szCs w:val="22"/>
        </w:rPr>
        <w:t xml:space="preserve"> 7.381,26</w:t>
      </w:r>
      <w:r w:rsidR="005E22D6" w:rsidRPr="00054641">
        <w:rPr>
          <w:sz w:val="22"/>
          <w:szCs w:val="22"/>
        </w:rPr>
        <w:t xml:space="preserve"> </w:t>
      </w:r>
      <w:r w:rsidRPr="00054641">
        <w:rPr>
          <w:sz w:val="22"/>
          <w:szCs w:val="22"/>
        </w:rPr>
        <w:t xml:space="preserve">eura te ostvareni višak tekuće godine u iznosu od </w:t>
      </w:r>
      <w:r w:rsidR="005E22D6" w:rsidRPr="00054641">
        <w:rPr>
          <w:sz w:val="22"/>
          <w:szCs w:val="22"/>
        </w:rPr>
        <w:t>1</w:t>
      </w:r>
      <w:r w:rsidR="00054641" w:rsidRPr="00054641">
        <w:rPr>
          <w:sz w:val="22"/>
          <w:szCs w:val="22"/>
        </w:rPr>
        <w:t>3.063,43</w:t>
      </w:r>
      <w:r w:rsidRPr="00054641">
        <w:rPr>
          <w:sz w:val="22"/>
          <w:szCs w:val="22"/>
        </w:rPr>
        <w:t xml:space="preserve"> eura ukupni višak do 30.06.202</w:t>
      </w:r>
      <w:r w:rsidR="005E22D6" w:rsidRPr="00054641">
        <w:rPr>
          <w:sz w:val="22"/>
          <w:szCs w:val="22"/>
        </w:rPr>
        <w:t>4</w:t>
      </w:r>
      <w:r w:rsidRPr="00054641">
        <w:rPr>
          <w:sz w:val="22"/>
          <w:szCs w:val="22"/>
        </w:rPr>
        <w:t xml:space="preserve">. godine iznosi </w:t>
      </w:r>
      <w:r w:rsidR="00054641" w:rsidRPr="00054641">
        <w:rPr>
          <w:sz w:val="22"/>
          <w:szCs w:val="22"/>
        </w:rPr>
        <w:t>20.381,69</w:t>
      </w:r>
      <w:r w:rsidRPr="00054641">
        <w:rPr>
          <w:sz w:val="22"/>
          <w:szCs w:val="22"/>
        </w:rPr>
        <w:t xml:space="preserve"> eura.</w:t>
      </w:r>
    </w:p>
    <w:p w14:paraId="4DB6929E" w14:textId="77777777" w:rsidR="00CF698F" w:rsidRPr="00592C45" w:rsidRDefault="00CF698F">
      <w:pPr>
        <w:contextualSpacing/>
        <w:jc w:val="both"/>
        <w:rPr>
          <w:color w:val="EE0000"/>
          <w:sz w:val="22"/>
          <w:szCs w:val="22"/>
        </w:rPr>
      </w:pPr>
    </w:p>
    <w:p w14:paraId="70239B20" w14:textId="79A7EBA7" w:rsidR="00CF698F" w:rsidRPr="00054641" w:rsidRDefault="00000000">
      <w:pPr>
        <w:tabs>
          <w:tab w:val="right" w:pos="6237"/>
          <w:tab w:val="right" w:pos="8789"/>
        </w:tabs>
        <w:jc w:val="both"/>
        <w:rPr>
          <w:sz w:val="22"/>
          <w:szCs w:val="22"/>
        </w:rPr>
      </w:pPr>
      <w:r w:rsidRPr="00054641">
        <w:rPr>
          <w:sz w:val="22"/>
          <w:szCs w:val="22"/>
        </w:rPr>
        <w:t xml:space="preserve">Prihodi su realizirani u iznosu od </w:t>
      </w:r>
      <w:r w:rsidR="000D4108" w:rsidRPr="00054641">
        <w:rPr>
          <w:sz w:val="22"/>
          <w:szCs w:val="22"/>
        </w:rPr>
        <w:t>2</w:t>
      </w:r>
      <w:r w:rsidR="00054641" w:rsidRPr="00054641">
        <w:rPr>
          <w:sz w:val="22"/>
          <w:szCs w:val="22"/>
        </w:rPr>
        <w:t>85.577,00</w:t>
      </w:r>
      <w:r w:rsidRPr="00054641">
        <w:rPr>
          <w:sz w:val="22"/>
          <w:szCs w:val="22"/>
        </w:rPr>
        <w:t xml:space="preserve"> eura što je za </w:t>
      </w:r>
      <w:r w:rsidR="000D4108" w:rsidRPr="00054641">
        <w:rPr>
          <w:sz w:val="22"/>
          <w:szCs w:val="22"/>
        </w:rPr>
        <w:t>2</w:t>
      </w:r>
      <w:r w:rsidR="00054641" w:rsidRPr="00054641">
        <w:rPr>
          <w:sz w:val="22"/>
          <w:szCs w:val="22"/>
        </w:rPr>
        <w:t>3,75</w:t>
      </w:r>
      <w:r w:rsidRPr="00054641">
        <w:rPr>
          <w:sz w:val="22"/>
          <w:szCs w:val="22"/>
        </w:rPr>
        <w:t xml:space="preserve"> % više u odnosu na ostvarenje za isto razdoblje prethodne proračunske godine. U nastavku se daje struktura ostvarenih prihoda po skupinama tijekom 202</w:t>
      </w:r>
      <w:r w:rsidR="00054641" w:rsidRPr="00054641">
        <w:rPr>
          <w:sz w:val="22"/>
          <w:szCs w:val="22"/>
        </w:rPr>
        <w:t>4</w:t>
      </w:r>
      <w:r w:rsidRPr="00054641">
        <w:rPr>
          <w:sz w:val="22"/>
          <w:szCs w:val="22"/>
        </w:rPr>
        <w:t>. i 202</w:t>
      </w:r>
      <w:r w:rsidR="00054641" w:rsidRPr="00054641">
        <w:rPr>
          <w:sz w:val="22"/>
          <w:szCs w:val="22"/>
        </w:rPr>
        <w:t>5</w:t>
      </w:r>
      <w:r w:rsidRPr="00054641">
        <w:rPr>
          <w:sz w:val="22"/>
          <w:szCs w:val="22"/>
        </w:rPr>
        <w:t>. godine sa indeksima ostvarenja:</w:t>
      </w:r>
    </w:p>
    <w:p w14:paraId="210311C3" w14:textId="77777777" w:rsidR="00CF698F" w:rsidRPr="00592C45" w:rsidRDefault="00CF698F">
      <w:pPr>
        <w:tabs>
          <w:tab w:val="right" w:pos="6237"/>
          <w:tab w:val="right" w:pos="8789"/>
        </w:tabs>
        <w:jc w:val="both"/>
        <w:rPr>
          <w:color w:val="EE0000"/>
          <w:sz w:val="22"/>
          <w:szCs w:val="2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81"/>
        <w:gridCol w:w="2901"/>
        <w:gridCol w:w="1560"/>
        <w:gridCol w:w="1415"/>
        <w:gridCol w:w="1418"/>
        <w:gridCol w:w="992"/>
        <w:gridCol w:w="996"/>
      </w:tblGrid>
      <w:tr w:rsidR="00592C45" w:rsidRPr="00592C45" w14:paraId="5E399169" w14:textId="77777777">
        <w:trPr>
          <w:trHeight w:val="287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387D" w14:textId="77777777" w:rsidR="00CF698F" w:rsidRPr="0094648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946486">
              <w:rPr>
                <w:b/>
                <w:bCs/>
                <w:sz w:val="22"/>
                <w:szCs w:val="22"/>
              </w:rPr>
              <w:t>Skupina konta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D44D" w14:textId="77777777" w:rsidR="00CF698F" w:rsidRPr="0094648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946486">
              <w:rPr>
                <w:b/>
                <w:bCs/>
                <w:sz w:val="22"/>
                <w:szCs w:val="22"/>
              </w:rPr>
              <w:t>Naziv konta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4CFD" w14:textId="38A92F2C" w:rsidR="00CF698F" w:rsidRPr="00946486" w:rsidRDefault="00000000">
            <w:pPr>
              <w:jc w:val="center"/>
              <w:rPr>
                <w:sz w:val="22"/>
                <w:szCs w:val="22"/>
              </w:rPr>
            </w:pPr>
            <w:r w:rsidRPr="00946486">
              <w:rPr>
                <w:b/>
                <w:bCs/>
                <w:sz w:val="22"/>
                <w:szCs w:val="22"/>
              </w:rPr>
              <w:t>Izvršenje 202</w:t>
            </w:r>
            <w:r w:rsidR="00592C45" w:rsidRPr="00946486">
              <w:rPr>
                <w:b/>
                <w:bCs/>
                <w:sz w:val="22"/>
                <w:szCs w:val="22"/>
              </w:rPr>
              <w:t>4</w:t>
            </w:r>
            <w:r w:rsidRPr="0094648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5688" w14:textId="464CA9B3" w:rsidR="00CF698F" w:rsidRPr="00592C45" w:rsidRDefault="00000000">
            <w:pPr>
              <w:jc w:val="center"/>
              <w:rPr>
                <w:sz w:val="22"/>
                <w:szCs w:val="22"/>
              </w:rPr>
            </w:pPr>
            <w:r w:rsidRPr="00592C45">
              <w:rPr>
                <w:b/>
                <w:bCs/>
                <w:sz w:val="22"/>
                <w:szCs w:val="22"/>
              </w:rPr>
              <w:t>Tekući plan 202</w:t>
            </w:r>
            <w:r w:rsidR="00592C45" w:rsidRPr="00592C45">
              <w:rPr>
                <w:b/>
                <w:bCs/>
                <w:sz w:val="22"/>
                <w:szCs w:val="22"/>
              </w:rPr>
              <w:t>5</w:t>
            </w:r>
            <w:r w:rsidRPr="00592C4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38A55" w14:textId="3E46211F" w:rsidR="00CF698F" w:rsidRPr="00592C45" w:rsidRDefault="00000000">
            <w:pPr>
              <w:jc w:val="center"/>
              <w:rPr>
                <w:sz w:val="22"/>
                <w:szCs w:val="22"/>
              </w:rPr>
            </w:pPr>
            <w:r w:rsidRPr="00592C45">
              <w:rPr>
                <w:b/>
                <w:bCs/>
                <w:sz w:val="22"/>
                <w:szCs w:val="22"/>
              </w:rPr>
              <w:t>Izvršenje 202</w:t>
            </w:r>
            <w:r w:rsidR="00592C45" w:rsidRPr="00592C45">
              <w:rPr>
                <w:b/>
                <w:bCs/>
                <w:sz w:val="22"/>
                <w:szCs w:val="22"/>
              </w:rPr>
              <w:t>5</w:t>
            </w:r>
            <w:r w:rsidRPr="00592C4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0E9A13" w14:textId="77777777" w:rsidR="00CF698F" w:rsidRPr="00592C45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45">
              <w:rPr>
                <w:b/>
                <w:bCs/>
                <w:sz w:val="20"/>
                <w:szCs w:val="20"/>
              </w:rPr>
              <w:t>Index</w:t>
            </w:r>
          </w:p>
        </w:tc>
      </w:tr>
      <w:tr w:rsidR="00592C45" w:rsidRPr="00592C45" w14:paraId="0DBA1814" w14:textId="77777777">
        <w:trPr>
          <w:trHeight w:val="54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400F" w14:textId="77777777" w:rsidR="00CF698F" w:rsidRPr="00946486" w:rsidRDefault="00CF69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7443" w14:textId="77777777" w:rsidR="00CF698F" w:rsidRPr="00946486" w:rsidRDefault="00CF69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0F00" w14:textId="77777777" w:rsidR="00CF698F" w:rsidRPr="00946486" w:rsidRDefault="00CF69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329D" w14:textId="77777777" w:rsidR="00CF698F" w:rsidRPr="00592C45" w:rsidRDefault="00CF69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9930B" w14:textId="77777777" w:rsidR="00CF698F" w:rsidRPr="00592C45" w:rsidRDefault="00CF69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AD6F4" w14:textId="77777777" w:rsidR="00CF698F" w:rsidRPr="00592C45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45">
              <w:rPr>
                <w:b/>
                <w:bCs/>
                <w:sz w:val="22"/>
                <w:szCs w:val="22"/>
              </w:rPr>
              <w:t>5/3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0CD6" w14:textId="77777777" w:rsidR="00CF698F" w:rsidRPr="00592C45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45">
              <w:rPr>
                <w:b/>
                <w:bCs/>
                <w:sz w:val="22"/>
                <w:szCs w:val="22"/>
              </w:rPr>
              <w:t>5/4</w:t>
            </w:r>
          </w:p>
        </w:tc>
      </w:tr>
      <w:tr w:rsidR="00592C45" w:rsidRPr="00592C45" w14:paraId="579FB596" w14:textId="77777777">
        <w:trPr>
          <w:trHeight w:val="82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82CB" w14:textId="77777777" w:rsidR="00CF698F" w:rsidRPr="00946486" w:rsidRDefault="00000000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1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8832E" w14:textId="77777777" w:rsidR="00CF698F" w:rsidRPr="00946486" w:rsidRDefault="00000000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8D68F4" w14:textId="77777777" w:rsidR="00CF698F" w:rsidRPr="00946486" w:rsidRDefault="00000000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005267" w14:textId="77777777" w:rsidR="00CF698F" w:rsidRPr="00592C45" w:rsidRDefault="00000000">
            <w:pPr>
              <w:jc w:val="center"/>
              <w:rPr>
                <w:sz w:val="20"/>
                <w:szCs w:val="20"/>
              </w:rPr>
            </w:pPr>
            <w:r w:rsidRPr="00592C4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5F357" w14:textId="77777777" w:rsidR="00CF698F" w:rsidRPr="00946486" w:rsidRDefault="00000000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3513BD" w14:textId="77777777" w:rsidR="00CF698F" w:rsidRPr="00592C45" w:rsidRDefault="00000000">
            <w:pPr>
              <w:jc w:val="center"/>
              <w:rPr>
                <w:sz w:val="20"/>
                <w:szCs w:val="20"/>
              </w:rPr>
            </w:pPr>
            <w:r w:rsidRPr="00592C45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433046" w14:textId="77777777" w:rsidR="00CF698F" w:rsidRPr="00592C45" w:rsidRDefault="00000000">
            <w:pPr>
              <w:jc w:val="center"/>
              <w:rPr>
                <w:sz w:val="20"/>
                <w:szCs w:val="20"/>
              </w:rPr>
            </w:pPr>
            <w:r w:rsidRPr="00592C45">
              <w:rPr>
                <w:sz w:val="22"/>
                <w:szCs w:val="22"/>
              </w:rPr>
              <w:t>7</w:t>
            </w:r>
          </w:p>
        </w:tc>
      </w:tr>
      <w:tr w:rsidR="00946486" w:rsidRPr="00946486" w14:paraId="06027689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1243" w14:textId="77777777" w:rsidR="00CF698F" w:rsidRPr="00946486" w:rsidRDefault="00000000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63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F754DA" w14:textId="77777777" w:rsidR="00CF698F" w:rsidRPr="00946486" w:rsidRDefault="00000000">
            <w:pPr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7F1818" w14:textId="190F2F2F" w:rsidR="00CF698F" w:rsidRPr="00946486" w:rsidRDefault="00946486" w:rsidP="009F6557">
            <w:pPr>
              <w:jc w:val="center"/>
              <w:rPr>
                <w:sz w:val="20"/>
                <w:szCs w:val="20"/>
                <w:lang w:val="en-US"/>
              </w:rPr>
            </w:pPr>
            <w:r w:rsidRPr="00946486">
              <w:rPr>
                <w:sz w:val="20"/>
                <w:szCs w:val="20"/>
                <w:lang w:val="en-US"/>
              </w:rPr>
              <w:t>2.601,65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CC35F2" w14:textId="3BB3D81C" w:rsidR="00CF698F" w:rsidRPr="00946486" w:rsidRDefault="00946486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1.500,00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3E6DF8" w14:textId="7DD2F4F1" w:rsidR="00CF698F" w:rsidRPr="00946486" w:rsidRDefault="00946486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194,40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D6989" w14:textId="793E6E14" w:rsidR="00CF698F" w:rsidRPr="00946486" w:rsidRDefault="00946486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7,47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966736" w14:textId="7262D65D" w:rsidR="00CF698F" w:rsidRPr="00946486" w:rsidRDefault="00946486" w:rsidP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12,96</w:t>
            </w:r>
          </w:p>
        </w:tc>
      </w:tr>
      <w:tr w:rsidR="00946486" w:rsidRPr="00946486" w14:paraId="24CB53DB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192C" w14:textId="77777777" w:rsidR="00CF698F" w:rsidRPr="00946486" w:rsidRDefault="00000000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64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F477AF" w14:textId="77777777" w:rsidR="00CF698F" w:rsidRPr="00946486" w:rsidRDefault="00000000">
            <w:pPr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Prihodi od imovine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A07872" w14:textId="3F0C86C9" w:rsidR="00CF698F" w:rsidRPr="00946486" w:rsidRDefault="00946486" w:rsidP="009F6557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1,22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39A1A1" w14:textId="19C09219" w:rsidR="00CF698F" w:rsidRPr="00946486" w:rsidRDefault="00554893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A6CD7" w14:textId="0233C52D" w:rsidR="00CF698F" w:rsidRPr="00946486" w:rsidRDefault="00946486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61,55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2E354B" w14:textId="552AD79D" w:rsidR="00CF698F" w:rsidRPr="00946486" w:rsidRDefault="00946486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5.045,08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BF5923" w14:textId="4E54821D" w:rsidR="00CF698F" w:rsidRPr="00946486" w:rsidRDefault="00946486" w:rsidP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615,50</w:t>
            </w:r>
          </w:p>
        </w:tc>
      </w:tr>
      <w:tr w:rsidR="00946486" w:rsidRPr="00946486" w14:paraId="7433057D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BE9F" w14:textId="77777777" w:rsidR="00CF698F" w:rsidRPr="00946486" w:rsidRDefault="00000000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65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099DE0" w14:textId="77777777" w:rsidR="00CF698F" w:rsidRPr="00946486" w:rsidRDefault="00000000">
            <w:pPr>
              <w:rPr>
                <w:sz w:val="22"/>
                <w:szCs w:val="22"/>
              </w:rPr>
            </w:pPr>
            <w:bookmarkStart w:id="0" w:name="__DdeLink__10548_3875382913"/>
            <w:r w:rsidRPr="00946486">
              <w:rPr>
                <w:sz w:val="22"/>
                <w:szCs w:val="22"/>
              </w:rPr>
              <w:t>Prihodi od upravnih i administrativnih pristojbi, pristojbi po posebnim propisima i naknada</w:t>
            </w:r>
            <w:bookmarkEnd w:id="0"/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FA5220" w14:textId="133994A8" w:rsidR="00CF698F" w:rsidRPr="00946486" w:rsidRDefault="00946486" w:rsidP="009F6557">
            <w:pPr>
              <w:jc w:val="center"/>
              <w:rPr>
                <w:sz w:val="20"/>
                <w:szCs w:val="20"/>
                <w:lang w:val="en-US"/>
              </w:rPr>
            </w:pPr>
            <w:r w:rsidRPr="00946486">
              <w:rPr>
                <w:sz w:val="20"/>
                <w:szCs w:val="20"/>
                <w:lang w:val="en-US"/>
              </w:rPr>
              <w:t>57.091,44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2D4E7F" w14:textId="684324C4" w:rsidR="00CF698F" w:rsidRPr="00946486" w:rsidRDefault="00554893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1</w:t>
            </w:r>
            <w:r w:rsidR="00946486" w:rsidRPr="00946486">
              <w:rPr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2932CE" w14:textId="714742DF" w:rsidR="00CF698F" w:rsidRPr="00946486" w:rsidRDefault="00946486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57.246,05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8EEC6B" w14:textId="25B72DCE" w:rsidR="00CF698F" w:rsidRPr="00946486" w:rsidRDefault="00946486" w:rsidP="00946486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100,27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1087B4" w14:textId="1D0EA52C" w:rsidR="00CF698F" w:rsidRPr="00946486" w:rsidRDefault="00946486" w:rsidP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52,04</w:t>
            </w:r>
          </w:p>
        </w:tc>
      </w:tr>
      <w:tr w:rsidR="00946486" w:rsidRPr="00946486" w14:paraId="7CA46ADE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8B69" w14:textId="77777777" w:rsidR="00CF698F" w:rsidRPr="00946486" w:rsidRDefault="00000000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66.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FF36DA" w14:textId="77777777" w:rsidR="00CF698F" w:rsidRPr="00946486" w:rsidRDefault="00000000">
            <w:pPr>
              <w:rPr>
                <w:sz w:val="20"/>
                <w:szCs w:val="20"/>
              </w:rPr>
            </w:pPr>
            <w:r w:rsidRPr="00946486">
              <w:rPr>
                <w:sz w:val="22"/>
                <w:szCs w:val="22"/>
              </w:rPr>
              <w:t>Prihodi od prodaje proizvoda i robe  te pruženih usluga i prihodi od donacije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E81EC3" w14:textId="54BF8701" w:rsidR="00CF698F" w:rsidRPr="00946486" w:rsidRDefault="00946486" w:rsidP="009F6557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75,00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F10950" w14:textId="641EE6FE" w:rsidR="00CF698F" w:rsidRPr="00946486" w:rsidRDefault="00946486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FF2040" w14:textId="1BAE59F5" w:rsidR="00CF698F" w:rsidRPr="00946486" w:rsidRDefault="00554893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75,00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84F718" w14:textId="60175105" w:rsidR="00CF698F" w:rsidRPr="00946486" w:rsidRDefault="00946486" w:rsidP="00554893">
            <w:pPr>
              <w:jc w:val="center"/>
              <w:rPr>
                <w:sz w:val="20"/>
                <w:szCs w:val="20"/>
              </w:rPr>
            </w:pPr>
            <w:r w:rsidRPr="00946486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07FDE6" w14:textId="6997956E" w:rsidR="00CF698F" w:rsidRPr="00946486" w:rsidRDefault="00946486" w:rsidP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0,00</w:t>
            </w:r>
          </w:p>
        </w:tc>
      </w:tr>
      <w:tr w:rsidR="00946486" w:rsidRPr="00946486" w14:paraId="0EB29725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D2D7" w14:textId="77777777" w:rsidR="00CF698F" w:rsidRPr="00946486" w:rsidRDefault="00000000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67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395640" w14:textId="77777777" w:rsidR="00CF698F" w:rsidRPr="00946486" w:rsidRDefault="00000000">
            <w:pPr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AEAE6B" w14:textId="1A66538C" w:rsidR="00CF698F" w:rsidRPr="00946486" w:rsidRDefault="00946486" w:rsidP="009F6557">
            <w:pPr>
              <w:jc w:val="center"/>
              <w:rPr>
                <w:sz w:val="22"/>
                <w:szCs w:val="22"/>
                <w:lang w:val="en-US"/>
              </w:rPr>
            </w:pPr>
            <w:r w:rsidRPr="00946486">
              <w:rPr>
                <w:sz w:val="22"/>
                <w:szCs w:val="22"/>
                <w:lang w:val="en-US"/>
              </w:rPr>
              <w:t>171.000,00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65F832" w14:textId="1EDEB7BF" w:rsidR="00CF698F" w:rsidRPr="00946486" w:rsidRDefault="00946486" w:rsidP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456.000,00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F47EB" w14:textId="190C17BB" w:rsidR="00CF698F" w:rsidRPr="00946486" w:rsidRDefault="00946486" w:rsidP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228.000,00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6CD3A" w14:textId="36AE147C" w:rsidR="00CF698F" w:rsidRPr="00946486" w:rsidRDefault="00946486" w:rsidP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133,33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1BEF28" w14:textId="5968120F" w:rsidR="00CF698F" w:rsidRPr="00946486" w:rsidRDefault="00946486" w:rsidP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50</w:t>
            </w:r>
          </w:p>
        </w:tc>
      </w:tr>
      <w:tr w:rsidR="00946486" w:rsidRPr="00946486" w14:paraId="509FD71C" w14:textId="77777777">
        <w:trPr>
          <w:trHeight w:val="300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1019" w14:textId="77777777" w:rsidR="00CF698F" w:rsidRPr="0094648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946486">
              <w:rPr>
                <w:b/>
                <w:bCs/>
                <w:sz w:val="22"/>
                <w:szCs w:val="22"/>
              </w:rPr>
              <w:t>Ukupni prihodi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3F8EFC" w14:textId="4363CA5B" w:rsidR="00CF698F" w:rsidRPr="00946486" w:rsidRDefault="00946486" w:rsidP="009F6557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230.769,31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5D35C8" w14:textId="671E6FA3" w:rsidR="00CF698F" w:rsidRPr="00946486" w:rsidRDefault="00946486">
            <w:pPr>
              <w:jc w:val="both"/>
              <w:rPr>
                <w:sz w:val="22"/>
                <w:szCs w:val="22"/>
                <w:lang w:val="en-US"/>
              </w:rPr>
            </w:pPr>
            <w:r w:rsidRPr="00946486">
              <w:rPr>
                <w:sz w:val="22"/>
                <w:szCs w:val="22"/>
                <w:lang w:val="en-US"/>
              </w:rPr>
              <w:t>567.510,00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E52A81" w14:textId="4B6324CD" w:rsidR="00946486" w:rsidRPr="00946486" w:rsidRDefault="00946486" w:rsidP="00946486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285.577,00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9C3941" w14:textId="03217F41" w:rsidR="00CF698F" w:rsidRPr="00946486" w:rsidRDefault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12</w:t>
            </w:r>
            <w:r w:rsidR="00946486" w:rsidRPr="00946486">
              <w:rPr>
                <w:sz w:val="22"/>
                <w:szCs w:val="22"/>
              </w:rPr>
              <w:t>3,75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4D5AC4" w14:textId="5A4F4B89" w:rsidR="00CF698F" w:rsidRPr="00946486" w:rsidRDefault="00554893">
            <w:pPr>
              <w:jc w:val="center"/>
              <w:rPr>
                <w:sz w:val="22"/>
                <w:szCs w:val="22"/>
              </w:rPr>
            </w:pPr>
            <w:r w:rsidRPr="00946486">
              <w:rPr>
                <w:sz w:val="22"/>
                <w:szCs w:val="22"/>
              </w:rPr>
              <w:t>50,</w:t>
            </w:r>
            <w:r w:rsidR="00946486" w:rsidRPr="00946486">
              <w:rPr>
                <w:sz w:val="22"/>
                <w:szCs w:val="22"/>
              </w:rPr>
              <w:t>32</w:t>
            </w:r>
          </w:p>
        </w:tc>
      </w:tr>
    </w:tbl>
    <w:p w14:paraId="1F0C3912" w14:textId="77777777" w:rsidR="00CF698F" w:rsidRPr="00946486" w:rsidRDefault="00000000">
      <w:pPr>
        <w:jc w:val="both"/>
        <w:rPr>
          <w:sz w:val="22"/>
          <w:szCs w:val="22"/>
        </w:rPr>
      </w:pPr>
      <w:r w:rsidRPr="00946486">
        <w:rPr>
          <w:rFonts w:eastAsia="Arial Unicode MS"/>
          <w:sz w:val="22"/>
          <w:szCs w:val="22"/>
          <w:lang w:eastAsia="en-US"/>
        </w:rPr>
        <w:t xml:space="preserve"> </w:t>
      </w:r>
    </w:p>
    <w:p w14:paraId="32F63098" w14:textId="77777777" w:rsidR="00CF698F" w:rsidRPr="00592C45" w:rsidRDefault="00CF698F">
      <w:pPr>
        <w:jc w:val="both"/>
        <w:rPr>
          <w:rFonts w:eastAsia="Arial Unicode MS"/>
          <w:color w:val="EE0000"/>
          <w:lang w:eastAsia="en-US"/>
        </w:rPr>
      </w:pPr>
    </w:p>
    <w:p w14:paraId="29B314E1" w14:textId="77777777" w:rsidR="00CF698F" w:rsidRPr="00592C45" w:rsidRDefault="00CF698F">
      <w:pPr>
        <w:jc w:val="both"/>
        <w:rPr>
          <w:rFonts w:eastAsia="Arial Unicode MS"/>
          <w:color w:val="EE0000"/>
          <w:lang w:eastAsia="en-US"/>
        </w:rPr>
      </w:pPr>
    </w:p>
    <w:p w14:paraId="5634D786" w14:textId="5A097F87" w:rsidR="00CF698F" w:rsidRPr="00054641" w:rsidRDefault="00000000">
      <w:pPr>
        <w:jc w:val="both"/>
        <w:rPr>
          <w:sz w:val="22"/>
          <w:szCs w:val="22"/>
        </w:rPr>
      </w:pPr>
      <w:r w:rsidRPr="00054641">
        <w:rPr>
          <w:sz w:val="22"/>
          <w:szCs w:val="22"/>
        </w:rPr>
        <w:t xml:space="preserve">Prihodi poslovanja u izvještajnom razdoblju u odnosi na plan ostvareni su </w:t>
      </w:r>
      <w:r w:rsidR="00554893" w:rsidRPr="00054641">
        <w:rPr>
          <w:sz w:val="22"/>
          <w:szCs w:val="22"/>
        </w:rPr>
        <w:t>50,</w:t>
      </w:r>
      <w:r w:rsidR="00054641" w:rsidRPr="00054641">
        <w:rPr>
          <w:sz w:val="22"/>
          <w:szCs w:val="22"/>
        </w:rPr>
        <w:t>32</w:t>
      </w:r>
      <w:r w:rsidRPr="00054641">
        <w:rPr>
          <w:sz w:val="22"/>
          <w:szCs w:val="22"/>
        </w:rPr>
        <w:t xml:space="preserve">% i iznose </w:t>
      </w:r>
      <w:r w:rsidR="00554893" w:rsidRPr="00054641">
        <w:rPr>
          <w:sz w:val="22"/>
          <w:szCs w:val="22"/>
        </w:rPr>
        <w:t>2</w:t>
      </w:r>
      <w:r w:rsidR="00054641" w:rsidRPr="00054641">
        <w:rPr>
          <w:sz w:val="22"/>
          <w:szCs w:val="22"/>
        </w:rPr>
        <w:t>72.513,57</w:t>
      </w:r>
      <w:r w:rsidR="00554893" w:rsidRPr="00054641">
        <w:rPr>
          <w:sz w:val="22"/>
          <w:szCs w:val="22"/>
        </w:rPr>
        <w:t xml:space="preserve"> </w:t>
      </w:r>
      <w:r w:rsidRPr="00054641">
        <w:rPr>
          <w:sz w:val="22"/>
          <w:szCs w:val="22"/>
        </w:rPr>
        <w:t xml:space="preserve">eura.  Prihodi su veći za </w:t>
      </w:r>
      <w:r w:rsidR="00554893" w:rsidRPr="00054641">
        <w:rPr>
          <w:sz w:val="22"/>
          <w:szCs w:val="22"/>
        </w:rPr>
        <w:t>2</w:t>
      </w:r>
      <w:r w:rsidR="00054641" w:rsidRPr="00054641">
        <w:rPr>
          <w:sz w:val="22"/>
          <w:szCs w:val="22"/>
        </w:rPr>
        <w:t>8,26</w:t>
      </w:r>
      <w:r w:rsidR="00554893" w:rsidRPr="00054641">
        <w:rPr>
          <w:sz w:val="22"/>
          <w:szCs w:val="22"/>
        </w:rPr>
        <w:t xml:space="preserve"> </w:t>
      </w:r>
      <w:r w:rsidRPr="00054641">
        <w:rPr>
          <w:sz w:val="22"/>
          <w:szCs w:val="22"/>
        </w:rPr>
        <w:t xml:space="preserve">% u odnosu na isto razdoblje prethodne godine. </w:t>
      </w:r>
    </w:p>
    <w:p w14:paraId="443D1D13" w14:textId="77777777" w:rsidR="00CF698F" w:rsidRPr="00054641" w:rsidRDefault="00000000">
      <w:pPr>
        <w:jc w:val="both"/>
        <w:rPr>
          <w:sz w:val="22"/>
          <w:szCs w:val="22"/>
        </w:rPr>
      </w:pPr>
      <w:r w:rsidRPr="00054641">
        <w:rPr>
          <w:sz w:val="22"/>
          <w:szCs w:val="22"/>
        </w:rPr>
        <w:t xml:space="preserve">Prihode poslovanja čine: </w:t>
      </w:r>
    </w:p>
    <w:p w14:paraId="7791433B" w14:textId="77777777" w:rsidR="00CF698F" w:rsidRPr="00054641" w:rsidRDefault="00000000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054641">
        <w:rPr>
          <w:sz w:val="22"/>
          <w:szCs w:val="22"/>
        </w:rPr>
        <w:t xml:space="preserve">pomoći iz inozemstva i subjekata unutar općeg proračuna, </w:t>
      </w:r>
    </w:p>
    <w:p w14:paraId="1ACD2CC4" w14:textId="77777777" w:rsidR="00CF698F" w:rsidRPr="00054641" w:rsidRDefault="00000000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054641">
        <w:rPr>
          <w:sz w:val="22"/>
          <w:szCs w:val="22"/>
        </w:rPr>
        <w:t xml:space="preserve">prihodi od imovine, </w:t>
      </w:r>
    </w:p>
    <w:p w14:paraId="4C3B1845" w14:textId="77777777" w:rsidR="00CF698F" w:rsidRPr="00054641" w:rsidRDefault="00000000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054641">
        <w:rPr>
          <w:sz w:val="22"/>
          <w:szCs w:val="22"/>
        </w:rPr>
        <w:t xml:space="preserve">prihodi od upravnih i administrativnih pristojbi, pristojbi po posebnim propisima i naknada, </w:t>
      </w:r>
    </w:p>
    <w:p w14:paraId="121EEA55" w14:textId="77777777" w:rsidR="00CF698F" w:rsidRPr="00054641" w:rsidRDefault="00000000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054641">
        <w:rPr>
          <w:sz w:val="22"/>
          <w:szCs w:val="22"/>
        </w:rPr>
        <w:t>prihodi od prodaje proizvoda i robe te pruženih usluga i</w:t>
      </w:r>
    </w:p>
    <w:p w14:paraId="47107B7F" w14:textId="77777777" w:rsidR="00CF698F" w:rsidRPr="00054641" w:rsidRDefault="00000000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054641">
        <w:rPr>
          <w:sz w:val="22"/>
          <w:szCs w:val="22"/>
        </w:rPr>
        <w:t xml:space="preserve"> prihodi od donacija i prihodi iz nadležnog proračuna i od HZZO-a temeljem ugovornih obveza.</w:t>
      </w:r>
    </w:p>
    <w:p w14:paraId="5E5E8EF3" w14:textId="66FED520" w:rsidR="00CF698F" w:rsidRPr="00054641" w:rsidRDefault="00000000">
      <w:pPr>
        <w:jc w:val="both"/>
        <w:rPr>
          <w:sz w:val="22"/>
          <w:szCs w:val="22"/>
        </w:rPr>
      </w:pPr>
      <w:r w:rsidRPr="00054641">
        <w:rPr>
          <w:sz w:val="22"/>
          <w:szCs w:val="22"/>
        </w:rPr>
        <w:t xml:space="preserve">Pomoći iz inozemstva i od subjekata unutar općeg proračuna ostvarene su u iznosu </w:t>
      </w:r>
      <w:r w:rsidR="00054641" w:rsidRPr="00054641">
        <w:rPr>
          <w:sz w:val="22"/>
          <w:szCs w:val="22"/>
        </w:rPr>
        <w:t>194,40</w:t>
      </w:r>
      <w:r w:rsidRPr="00054641">
        <w:rPr>
          <w:sz w:val="22"/>
          <w:szCs w:val="22"/>
        </w:rPr>
        <w:t xml:space="preserve"> ili </w:t>
      </w:r>
      <w:r w:rsidR="00054641" w:rsidRPr="00054641">
        <w:rPr>
          <w:sz w:val="22"/>
          <w:szCs w:val="22"/>
        </w:rPr>
        <w:t>12,96</w:t>
      </w:r>
      <w:r w:rsidRPr="00054641">
        <w:rPr>
          <w:sz w:val="22"/>
          <w:szCs w:val="22"/>
        </w:rPr>
        <w:t>% plana i u odnosu na izvještajno razdoblje prethodne godine</w:t>
      </w:r>
      <w:r w:rsidR="00554893" w:rsidRPr="00054641">
        <w:rPr>
          <w:sz w:val="22"/>
          <w:szCs w:val="22"/>
        </w:rPr>
        <w:t xml:space="preserve"> manji</w:t>
      </w:r>
      <w:r w:rsidRPr="00054641">
        <w:rPr>
          <w:sz w:val="22"/>
          <w:szCs w:val="22"/>
        </w:rPr>
        <w:t xml:space="preserve"> su za </w:t>
      </w:r>
      <w:r w:rsidR="00054641" w:rsidRPr="00054641">
        <w:rPr>
          <w:sz w:val="22"/>
          <w:szCs w:val="22"/>
        </w:rPr>
        <w:t>92,53</w:t>
      </w:r>
      <w:r w:rsidR="00554893" w:rsidRPr="00054641">
        <w:rPr>
          <w:sz w:val="22"/>
          <w:szCs w:val="22"/>
        </w:rPr>
        <w:t xml:space="preserve"> </w:t>
      </w:r>
      <w:r w:rsidRPr="00054641">
        <w:rPr>
          <w:sz w:val="22"/>
          <w:szCs w:val="22"/>
        </w:rPr>
        <w:t xml:space="preserve">%, a odnose se na sredstva ministarstva </w:t>
      </w:r>
      <w:r w:rsidR="00054641" w:rsidRPr="00054641">
        <w:rPr>
          <w:sz w:val="22"/>
          <w:szCs w:val="22"/>
        </w:rPr>
        <w:t xml:space="preserve">za </w:t>
      </w:r>
      <w:proofErr w:type="spellStart"/>
      <w:r w:rsidR="00054641" w:rsidRPr="00054641">
        <w:rPr>
          <w:sz w:val="22"/>
          <w:szCs w:val="22"/>
        </w:rPr>
        <w:t>predškolu</w:t>
      </w:r>
      <w:proofErr w:type="spellEnd"/>
      <w:r w:rsidR="00054641" w:rsidRPr="00054641">
        <w:rPr>
          <w:sz w:val="22"/>
          <w:szCs w:val="22"/>
        </w:rPr>
        <w:t>.</w:t>
      </w:r>
    </w:p>
    <w:p w14:paraId="6C9EFBFB" w14:textId="3D7471C2" w:rsidR="00CF698F" w:rsidRPr="00A663D8" w:rsidRDefault="00000000">
      <w:pPr>
        <w:jc w:val="both"/>
        <w:rPr>
          <w:sz w:val="22"/>
          <w:szCs w:val="22"/>
        </w:rPr>
      </w:pPr>
      <w:r w:rsidRPr="00515A08">
        <w:rPr>
          <w:sz w:val="22"/>
          <w:szCs w:val="22"/>
        </w:rPr>
        <w:t xml:space="preserve">Prihodi od imovine ostvareni su u iznosu od </w:t>
      </w:r>
      <w:r w:rsidR="00515A08">
        <w:rPr>
          <w:sz w:val="22"/>
          <w:szCs w:val="22"/>
        </w:rPr>
        <w:t>61,55</w:t>
      </w:r>
      <w:r w:rsidRPr="00515A08">
        <w:rPr>
          <w:sz w:val="22"/>
          <w:szCs w:val="22"/>
        </w:rPr>
        <w:t xml:space="preserve"> eura ili </w:t>
      </w:r>
      <w:r w:rsidR="00515A08" w:rsidRPr="00515A08">
        <w:rPr>
          <w:sz w:val="22"/>
          <w:szCs w:val="22"/>
        </w:rPr>
        <w:t>615,50</w:t>
      </w:r>
      <w:r w:rsidR="00FA4D10" w:rsidRPr="00515A08">
        <w:rPr>
          <w:sz w:val="22"/>
          <w:szCs w:val="22"/>
        </w:rPr>
        <w:t xml:space="preserve"> </w:t>
      </w:r>
      <w:r w:rsidRPr="00515A08">
        <w:rPr>
          <w:sz w:val="22"/>
          <w:szCs w:val="22"/>
        </w:rPr>
        <w:t>% plana, a riječ je o pasivnim kamatama banke</w:t>
      </w:r>
      <w:r w:rsidR="00A663D8">
        <w:rPr>
          <w:sz w:val="22"/>
          <w:szCs w:val="22"/>
        </w:rPr>
        <w:t xml:space="preserve"> i </w:t>
      </w:r>
      <w:r w:rsidR="00A663D8" w:rsidRPr="00A663D8">
        <w:rPr>
          <w:sz w:val="22"/>
          <w:szCs w:val="22"/>
        </w:rPr>
        <w:t>financijskom odobrenju.</w:t>
      </w:r>
    </w:p>
    <w:p w14:paraId="2A35C81E" w14:textId="13007C03" w:rsidR="00CF698F" w:rsidRPr="00A663D8" w:rsidRDefault="00000000">
      <w:pPr>
        <w:jc w:val="both"/>
        <w:rPr>
          <w:sz w:val="22"/>
          <w:szCs w:val="22"/>
        </w:rPr>
      </w:pPr>
      <w:r w:rsidRPr="00A663D8">
        <w:rPr>
          <w:sz w:val="22"/>
          <w:szCs w:val="22"/>
        </w:rPr>
        <w:t xml:space="preserve">Prihodi od upravnih i administrativnih pristojbi, pristojbi po posebnim propisima i naknada iznose </w:t>
      </w:r>
      <w:r w:rsidR="00A663D8" w:rsidRPr="00A663D8">
        <w:rPr>
          <w:sz w:val="22"/>
          <w:szCs w:val="22"/>
        </w:rPr>
        <w:t>57.246,05</w:t>
      </w:r>
      <w:r w:rsidRPr="00A663D8">
        <w:rPr>
          <w:sz w:val="22"/>
          <w:szCs w:val="22"/>
        </w:rPr>
        <w:t xml:space="preserve"> eura ili 5</w:t>
      </w:r>
      <w:r w:rsidR="00FA4D10" w:rsidRPr="00A663D8">
        <w:rPr>
          <w:sz w:val="22"/>
          <w:szCs w:val="22"/>
        </w:rPr>
        <w:t>2,</w:t>
      </w:r>
      <w:r w:rsidR="00A663D8" w:rsidRPr="00A663D8">
        <w:rPr>
          <w:sz w:val="22"/>
          <w:szCs w:val="22"/>
        </w:rPr>
        <w:t>04</w:t>
      </w:r>
      <w:r w:rsidRPr="00A663D8">
        <w:rPr>
          <w:sz w:val="22"/>
          <w:szCs w:val="22"/>
        </w:rPr>
        <w:t xml:space="preserve">% plana i veći su za </w:t>
      </w:r>
      <w:r w:rsidR="00A663D8" w:rsidRPr="00A663D8">
        <w:rPr>
          <w:sz w:val="22"/>
          <w:szCs w:val="22"/>
        </w:rPr>
        <w:t>0</w:t>
      </w:r>
      <w:r w:rsidR="00FA4D10" w:rsidRPr="00A663D8">
        <w:rPr>
          <w:sz w:val="22"/>
          <w:szCs w:val="22"/>
        </w:rPr>
        <w:t>,</w:t>
      </w:r>
      <w:r w:rsidR="00A663D8" w:rsidRPr="00A663D8">
        <w:rPr>
          <w:sz w:val="22"/>
          <w:szCs w:val="22"/>
        </w:rPr>
        <w:t>27</w:t>
      </w:r>
      <w:r w:rsidR="00FA4D10" w:rsidRPr="00A663D8">
        <w:rPr>
          <w:sz w:val="22"/>
          <w:szCs w:val="22"/>
        </w:rPr>
        <w:t xml:space="preserve"> </w:t>
      </w:r>
      <w:r w:rsidRPr="00A663D8">
        <w:rPr>
          <w:sz w:val="22"/>
          <w:szCs w:val="22"/>
        </w:rPr>
        <w:t>% od istog razdoblja prethodne godine. Navedeni prihodi se odnose na uplate roditelja za sufinanciranje boravka djece</w:t>
      </w:r>
      <w:r w:rsidR="00A663D8" w:rsidRPr="00A663D8">
        <w:rPr>
          <w:sz w:val="22"/>
          <w:szCs w:val="22"/>
        </w:rPr>
        <w:t>.</w:t>
      </w:r>
    </w:p>
    <w:p w14:paraId="6C4AEB28" w14:textId="5EF073F6" w:rsidR="00CF698F" w:rsidRPr="00A663D8" w:rsidRDefault="00000000">
      <w:pPr>
        <w:jc w:val="both"/>
        <w:rPr>
          <w:sz w:val="22"/>
          <w:szCs w:val="22"/>
        </w:rPr>
      </w:pPr>
      <w:r w:rsidRPr="00A663D8">
        <w:rPr>
          <w:sz w:val="22"/>
          <w:szCs w:val="22"/>
        </w:rPr>
        <w:t>Prihodi od prodaje proizvoda i robe te pruženih usluga i prihodi od donacija ostvareni su u iznosu od</w:t>
      </w:r>
      <w:r w:rsidR="00FA4D10" w:rsidRPr="00A663D8">
        <w:rPr>
          <w:sz w:val="22"/>
          <w:szCs w:val="22"/>
        </w:rPr>
        <w:t xml:space="preserve"> 75,00</w:t>
      </w:r>
      <w:r w:rsidRPr="00A663D8">
        <w:rPr>
          <w:sz w:val="22"/>
          <w:szCs w:val="22"/>
        </w:rPr>
        <w:t xml:space="preserve"> eura</w:t>
      </w:r>
      <w:r w:rsidR="00A663D8" w:rsidRPr="00A663D8">
        <w:rPr>
          <w:sz w:val="22"/>
          <w:szCs w:val="22"/>
        </w:rPr>
        <w:t>.</w:t>
      </w:r>
    </w:p>
    <w:p w14:paraId="112C4995" w14:textId="06193B1C" w:rsidR="00CF698F" w:rsidRPr="00A663D8" w:rsidRDefault="00000000">
      <w:pPr>
        <w:jc w:val="both"/>
        <w:rPr>
          <w:sz w:val="22"/>
          <w:szCs w:val="22"/>
        </w:rPr>
      </w:pPr>
      <w:r w:rsidRPr="00A663D8">
        <w:rPr>
          <w:sz w:val="22"/>
          <w:szCs w:val="22"/>
        </w:rPr>
        <w:t xml:space="preserve">Prihodi iz nadležnog proračuna  i od HZZO-a temeljem ugovornih obveza iznose </w:t>
      </w:r>
      <w:r w:rsidR="00A663D8" w:rsidRPr="00A663D8">
        <w:rPr>
          <w:sz w:val="22"/>
          <w:szCs w:val="22"/>
        </w:rPr>
        <w:t>282.000,00</w:t>
      </w:r>
      <w:r w:rsidRPr="00A663D8">
        <w:rPr>
          <w:sz w:val="22"/>
          <w:szCs w:val="22"/>
        </w:rPr>
        <w:t xml:space="preserve"> eura ili </w:t>
      </w:r>
      <w:r w:rsidR="00A663D8" w:rsidRPr="00A663D8">
        <w:rPr>
          <w:sz w:val="22"/>
          <w:szCs w:val="22"/>
        </w:rPr>
        <w:t>50</w:t>
      </w:r>
      <w:r w:rsidRPr="00A663D8">
        <w:rPr>
          <w:sz w:val="22"/>
          <w:szCs w:val="22"/>
        </w:rPr>
        <w:t xml:space="preserve">% plana i veći su za </w:t>
      </w:r>
      <w:r w:rsidR="00A663D8" w:rsidRPr="00A663D8">
        <w:rPr>
          <w:sz w:val="22"/>
          <w:szCs w:val="22"/>
        </w:rPr>
        <w:t>33,33</w:t>
      </w:r>
      <w:r w:rsidRPr="00A663D8">
        <w:rPr>
          <w:sz w:val="22"/>
          <w:szCs w:val="22"/>
        </w:rPr>
        <w:t xml:space="preserve">% u odnosu na izvještajno razdoblje prethodne godine. Ti prihodi odnose se na sufinanciranje od Općine Martijanec, a iznos sufinanciranja je veći zbog povećanja </w:t>
      </w:r>
      <w:r w:rsidR="00FA4D10" w:rsidRPr="00A663D8">
        <w:rPr>
          <w:sz w:val="22"/>
          <w:szCs w:val="22"/>
        </w:rPr>
        <w:t>troškova ustanove.</w:t>
      </w:r>
    </w:p>
    <w:p w14:paraId="6B0F89E8" w14:textId="77777777" w:rsidR="00CF698F" w:rsidRPr="00592C45" w:rsidRDefault="00CF698F">
      <w:pPr>
        <w:spacing w:after="80"/>
        <w:jc w:val="both"/>
        <w:rPr>
          <w:rFonts w:eastAsiaTheme="minorHAnsi" w:cs="Arial"/>
          <w:color w:val="EE0000"/>
          <w:sz w:val="22"/>
          <w:szCs w:val="22"/>
          <w:lang w:eastAsia="en-US"/>
        </w:rPr>
      </w:pPr>
    </w:p>
    <w:p w14:paraId="4E2A6CA3" w14:textId="311B88B4" w:rsidR="00CF698F" w:rsidRPr="00592C45" w:rsidRDefault="00000000">
      <w:pPr>
        <w:widowControl w:val="0"/>
        <w:suppressAutoHyphens/>
        <w:spacing w:after="120"/>
        <w:jc w:val="both"/>
        <w:rPr>
          <w:sz w:val="22"/>
          <w:szCs w:val="22"/>
        </w:rPr>
      </w:pPr>
      <w:r w:rsidRPr="00592C45">
        <w:rPr>
          <w:sz w:val="22"/>
          <w:szCs w:val="22"/>
        </w:rPr>
        <w:t>Rashodi Financijskog plana za razdoblje od 01.01. do 30.06. realizirani su tijekom 202</w:t>
      </w:r>
      <w:r w:rsidR="00592C45" w:rsidRPr="00592C45">
        <w:rPr>
          <w:sz w:val="22"/>
          <w:szCs w:val="22"/>
        </w:rPr>
        <w:t>4</w:t>
      </w:r>
      <w:r w:rsidRPr="00592C45">
        <w:rPr>
          <w:sz w:val="22"/>
          <w:szCs w:val="22"/>
        </w:rPr>
        <w:t>. i 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 xml:space="preserve">. godine kako slijedi: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99"/>
        <w:gridCol w:w="2742"/>
        <w:gridCol w:w="1498"/>
        <w:gridCol w:w="1480"/>
        <w:gridCol w:w="1480"/>
        <w:gridCol w:w="1039"/>
        <w:gridCol w:w="983"/>
      </w:tblGrid>
      <w:tr w:rsidR="00592C45" w:rsidRPr="00592C45" w14:paraId="7F045EC8" w14:textId="77777777">
        <w:trPr>
          <w:trHeight w:val="223"/>
        </w:trPr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967DA9" w14:textId="77777777" w:rsidR="00CF698F" w:rsidRPr="003D7CE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CE1">
              <w:rPr>
                <w:b/>
                <w:bCs/>
                <w:sz w:val="22"/>
                <w:szCs w:val="22"/>
              </w:rPr>
              <w:t>Skupina konta</w:t>
            </w:r>
          </w:p>
        </w:tc>
        <w:tc>
          <w:tcPr>
            <w:tcW w:w="27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45F8B12" w14:textId="77777777" w:rsidR="00CF698F" w:rsidRPr="003D7CE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CE1">
              <w:rPr>
                <w:b/>
                <w:bCs/>
                <w:sz w:val="22"/>
                <w:szCs w:val="22"/>
              </w:rPr>
              <w:t>Naziv konta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06700BE" w14:textId="54A15862" w:rsidR="00CF698F" w:rsidRPr="00592C45" w:rsidRDefault="00000000">
            <w:pPr>
              <w:jc w:val="center"/>
              <w:rPr>
                <w:sz w:val="22"/>
                <w:szCs w:val="22"/>
              </w:rPr>
            </w:pPr>
            <w:r w:rsidRPr="00592C45">
              <w:rPr>
                <w:b/>
                <w:bCs/>
                <w:sz w:val="22"/>
                <w:szCs w:val="22"/>
              </w:rPr>
              <w:t>Izvršenje 202</w:t>
            </w:r>
            <w:r w:rsidR="00592C45" w:rsidRPr="00592C45">
              <w:rPr>
                <w:b/>
                <w:bCs/>
                <w:sz w:val="22"/>
                <w:szCs w:val="22"/>
              </w:rPr>
              <w:t>4</w:t>
            </w:r>
            <w:r w:rsidRPr="00592C4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A942C47" w14:textId="4384F8F0" w:rsidR="00CF698F" w:rsidRPr="0075500E" w:rsidRDefault="00000000">
            <w:pPr>
              <w:jc w:val="center"/>
              <w:rPr>
                <w:sz w:val="22"/>
                <w:szCs w:val="22"/>
              </w:rPr>
            </w:pPr>
            <w:r w:rsidRPr="0075500E">
              <w:rPr>
                <w:b/>
                <w:bCs/>
                <w:sz w:val="22"/>
                <w:szCs w:val="22"/>
              </w:rPr>
              <w:t>Tekući plan 202</w:t>
            </w:r>
            <w:r w:rsidR="00592C45" w:rsidRPr="0075500E">
              <w:rPr>
                <w:b/>
                <w:bCs/>
                <w:sz w:val="22"/>
                <w:szCs w:val="22"/>
              </w:rPr>
              <w:t>5</w:t>
            </w:r>
            <w:r w:rsidRPr="0075500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1735C90" w14:textId="7162A24F" w:rsidR="00CF698F" w:rsidRPr="00592C45" w:rsidRDefault="00000000">
            <w:pPr>
              <w:jc w:val="center"/>
              <w:rPr>
                <w:sz w:val="22"/>
                <w:szCs w:val="22"/>
              </w:rPr>
            </w:pPr>
            <w:r w:rsidRPr="00592C45">
              <w:rPr>
                <w:b/>
                <w:bCs/>
                <w:sz w:val="22"/>
                <w:szCs w:val="22"/>
              </w:rPr>
              <w:t>Izvršenje 202</w:t>
            </w:r>
            <w:r w:rsidR="00592C45" w:rsidRPr="00592C45">
              <w:rPr>
                <w:b/>
                <w:bCs/>
                <w:sz w:val="22"/>
                <w:szCs w:val="22"/>
              </w:rPr>
              <w:t>5</w:t>
            </w:r>
            <w:r w:rsidRPr="00592C4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22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B2BFB4" w14:textId="77777777" w:rsidR="00CF698F" w:rsidRPr="00592C45" w:rsidRDefault="00CF69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171297F" w14:textId="77777777" w:rsidR="00CF698F" w:rsidRPr="00592C45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45">
              <w:rPr>
                <w:b/>
                <w:bCs/>
                <w:sz w:val="22"/>
                <w:szCs w:val="22"/>
              </w:rPr>
              <w:t xml:space="preserve">Index        </w:t>
            </w:r>
          </w:p>
          <w:p w14:paraId="3D519D17" w14:textId="77777777" w:rsidR="00CF698F" w:rsidRPr="00592C45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45">
              <w:rPr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592C45" w:rsidRPr="00592C45" w14:paraId="55E97DE9" w14:textId="77777777">
        <w:trPr>
          <w:trHeight w:val="302"/>
        </w:trPr>
        <w:tc>
          <w:tcPr>
            <w:tcW w:w="9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52048" w14:textId="77777777" w:rsidR="00CF698F" w:rsidRPr="003D7CE1" w:rsidRDefault="00CF69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2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A44D49" w14:textId="77777777" w:rsidR="00CF698F" w:rsidRPr="003D7CE1" w:rsidRDefault="00CF69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35CF45" w14:textId="77777777" w:rsidR="00CF698F" w:rsidRPr="00592C45" w:rsidRDefault="00CF698F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5D7DAF" w14:textId="77777777" w:rsidR="00CF698F" w:rsidRPr="0075500E" w:rsidRDefault="00CF69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AB6076" w14:textId="77777777" w:rsidR="00CF698F" w:rsidRPr="00592C45" w:rsidRDefault="00CF698F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A0906C" w14:textId="77777777" w:rsidR="00CF698F" w:rsidRPr="00592C45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92C45">
              <w:rPr>
                <w:b/>
                <w:bCs/>
                <w:sz w:val="22"/>
                <w:szCs w:val="22"/>
              </w:rPr>
              <w:t>5/3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D134F5" w14:textId="77777777" w:rsidR="00CF698F" w:rsidRPr="00592C45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92C45">
              <w:rPr>
                <w:b/>
                <w:bCs/>
                <w:sz w:val="22"/>
                <w:szCs w:val="22"/>
              </w:rPr>
              <w:t>5/4</w:t>
            </w:r>
          </w:p>
        </w:tc>
      </w:tr>
      <w:tr w:rsidR="00592C45" w:rsidRPr="00592C45" w14:paraId="4C40A39E" w14:textId="77777777">
        <w:trPr>
          <w:trHeight w:val="266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0247D" w14:textId="77777777" w:rsidR="00CF698F" w:rsidRPr="003D7CE1" w:rsidRDefault="00000000">
            <w:pPr>
              <w:jc w:val="center"/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1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D4CF3D" w14:textId="77777777" w:rsidR="00CF698F" w:rsidRPr="003D7CE1" w:rsidRDefault="00000000">
            <w:pPr>
              <w:jc w:val="center"/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1F2C80" w14:textId="77777777" w:rsidR="00CF698F" w:rsidRPr="003A283B" w:rsidRDefault="00000000">
            <w:pPr>
              <w:jc w:val="center"/>
              <w:rPr>
                <w:sz w:val="20"/>
                <w:szCs w:val="20"/>
              </w:rPr>
            </w:pPr>
            <w:r w:rsidRPr="003A283B">
              <w:rPr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FB266F" w14:textId="77777777" w:rsidR="00CF698F" w:rsidRPr="0075500E" w:rsidRDefault="00000000">
            <w:pPr>
              <w:jc w:val="center"/>
              <w:rPr>
                <w:sz w:val="20"/>
                <w:szCs w:val="20"/>
              </w:rPr>
            </w:pPr>
            <w:r w:rsidRPr="0075500E">
              <w:rPr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FE346F" w14:textId="77777777" w:rsidR="00CF698F" w:rsidRPr="0075500E" w:rsidRDefault="00000000">
            <w:pPr>
              <w:jc w:val="center"/>
              <w:rPr>
                <w:sz w:val="20"/>
                <w:szCs w:val="20"/>
              </w:rPr>
            </w:pPr>
            <w:r w:rsidRPr="0075500E">
              <w:rPr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2E646F" w14:textId="77777777" w:rsidR="00CF698F" w:rsidRPr="001B7E23" w:rsidRDefault="00000000">
            <w:pPr>
              <w:jc w:val="center"/>
              <w:rPr>
                <w:sz w:val="20"/>
                <w:szCs w:val="20"/>
              </w:rPr>
            </w:pPr>
            <w:r w:rsidRPr="001B7E23">
              <w:rPr>
                <w:sz w:val="22"/>
                <w:szCs w:val="22"/>
              </w:rPr>
              <w:t>6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CFD58E" w14:textId="77777777" w:rsidR="00CF698F" w:rsidRPr="001B7E23" w:rsidRDefault="00000000">
            <w:pPr>
              <w:jc w:val="center"/>
              <w:rPr>
                <w:sz w:val="20"/>
                <w:szCs w:val="20"/>
              </w:rPr>
            </w:pPr>
            <w:r w:rsidRPr="001B7E23">
              <w:rPr>
                <w:sz w:val="22"/>
                <w:szCs w:val="22"/>
              </w:rPr>
              <w:t>7</w:t>
            </w:r>
          </w:p>
        </w:tc>
      </w:tr>
      <w:tr w:rsidR="00592C45" w:rsidRPr="00592C45" w14:paraId="1A748501" w14:textId="77777777">
        <w:trPr>
          <w:trHeight w:val="315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D1C820" w14:textId="77777777" w:rsidR="00CF698F" w:rsidRPr="003D7CE1" w:rsidRDefault="00000000">
            <w:pPr>
              <w:jc w:val="center"/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31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8F76AC4" w14:textId="77777777" w:rsidR="00CF698F" w:rsidRPr="003D7CE1" w:rsidRDefault="00000000">
            <w:pPr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Rashodi za zaposlene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6C78D55" w14:textId="283A525B" w:rsidR="00CF698F" w:rsidRPr="003A283B" w:rsidRDefault="00FA4D10">
            <w:pPr>
              <w:ind w:left="708" w:hanging="708"/>
              <w:jc w:val="center"/>
              <w:rPr>
                <w:sz w:val="22"/>
                <w:szCs w:val="22"/>
              </w:rPr>
            </w:pPr>
            <w:r w:rsidRPr="003A283B">
              <w:rPr>
                <w:sz w:val="22"/>
                <w:szCs w:val="22"/>
              </w:rPr>
              <w:t>1</w:t>
            </w:r>
            <w:r w:rsidR="00AD4DAB" w:rsidRPr="003A283B">
              <w:rPr>
                <w:sz w:val="22"/>
                <w:szCs w:val="22"/>
              </w:rPr>
              <w:t>67.871,94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085F58F" w14:textId="48B4E5FF" w:rsidR="00CF698F" w:rsidRPr="0075500E" w:rsidRDefault="0075500E" w:rsidP="00FF2BEB">
            <w:pPr>
              <w:jc w:val="center"/>
              <w:rPr>
                <w:sz w:val="22"/>
                <w:szCs w:val="22"/>
              </w:rPr>
            </w:pPr>
            <w:r w:rsidRPr="0075500E">
              <w:rPr>
                <w:sz w:val="22"/>
                <w:szCs w:val="22"/>
              </w:rPr>
              <w:t>475.550,00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2A3634" w14:textId="4F6C2FB4" w:rsidR="00CF698F" w:rsidRPr="0075500E" w:rsidRDefault="0075500E" w:rsidP="00130C02">
            <w:pPr>
              <w:jc w:val="center"/>
              <w:rPr>
                <w:sz w:val="22"/>
                <w:szCs w:val="22"/>
              </w:rPr>
            </w:pPr>
            <w:r w:rsidRPr="0075500E">
              <w:rPr>
                <w:sz w:val="22"/>
                <w:szCs w:val="22"/>
              </w:rPr>
              <w:t>218.840,63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6E5F21" w14:textId="34F8022E" w:rsidR="00CF698F" w:rsidRPr="001B7E23" w:rsidRDefault="001B7E23" w:rsidP="001B7E23">
            <w:pPr>
              <w:jc w:val="center"/>
              <w:rPr>
                <w:sz w:val="22"/>
                <w:szCs w:val="22"/>
              </w:rPr>
            </w:pPr>
            <w:r w:rsidRPr="001B7E23">
              <w:rPr>
                <w:sz w:val="22"/>
                <w:szCs w:val="22"/>
              </w:rPr>
              <w:t>130,36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94440BF" w14:textId="1762268E" w:rsidR="00CF698F" w:rsidRPr="001B7E23" w:rsidRDefault="001B7E23" w:rsidP="00130C02">
            <w:pPr>
              <w:jc w:val="center"/>
              <w:rPr>
                <w:sz w:val="22"/>
                <w:szCs w:val="22"/>
              </w:rPr>
            </w:pPr>
            <w:r w:rsidRPr="001B7E23">
              <w:rPr>
                <w:sz w:val="22"/>
                <w:szCs w:val="22"/>
              </w:rPr>
              <w:t>46,02</w:t>
            </w:r>
          </w:p>
        </w:tc>
      </w:tr>
      <w:tr w:rsidR="00592C45" w:rsidRPr="00592C45" w14:paraId="1A271F4D" w14:textId="77777777">
        <w:trPr>
          <w:trHeight w:val="44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1F31E3" w14:textId="77777777" w:rsidR="00CF698F" w:rsidRPr="003D7CE1" w:rsidRDefault="00000000">
            <w:pPr>
              <w:jc w:val="center"/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32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C97F9E" w14:textId="77777777" w:rsidR="00CF698F" w:rsidRPr="003D7CE1" w:rsidRDefault="00000000">
            <w:pPr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Materijalni rashodi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331CC68" w14:textId="3AD14B78" w:rsidR="00CF698F" w:rsidRPr="003A283B" w:rsidRDefault="00AD4DAB">
            <w:pPr>
              <w:jc w:val="center"/>
              <w:rPr>
                <w:sz w:val="22"/>
                <w:szCs w:val="22"/>
              </w:rPr>
            </w:pPr>
            <w:r w:rsidRPr="003A283B">
              <w:rPr>
                <w:sz w:val="22"/>
                <w:szCs w:val="22"/>
              </w:rPr>
              <w:t>43.900,86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87B93DC" w14:textId="2C64869C" w:rsidR="00CF698F" w:rsidRPr="0075500E" w:rsidRDefault="0075500E" w:rsidP="00FF2BEB">
            <w:pPr>
              <w:jc w:val="center"/>
              <w:rPr>
                <w:sz w:val="22"/>
                <w:szCs w:val="22"/>
              </w:rPr>
            </w:pPr>
            <w:r w:rsidRPr="0075500E">
              <w:rPr>
                <w:sz w:val="22"/>
                <w:szCs w:val="22"/>
              </w:rPr>
              <w:t>90.460,00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7E45649" w14:textId="03D006DB" w:rsidR="00CF698F" w:rsidRPr="0075500E" w:rsidRDefault="0075500E" w:rsidP="00130C02">
            <w:pPr>
              <w:jc w:val="center"/>
              <w:rPr>
                <w:sz w:val="22"/>
                <w:szCs w:val="22"/>
              </w:rPr>
            </w:pPr>
            <w:r w:rsidRPr="0075500E">
              <w:rPr>
                <w:sz w:val="22"/>
                <w:szCs w:val="22"/>
              </w:rPr>
              <w:t>52.718,70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DCEEF8F" w14:textId="0EF95328" w:rsidR="00CF698F" w:rsidRPr="001B7E23" w:rsidRDefault="00130C02" w:rsidP="00130C02">
            <w:pPr>
              <w:jc w:val="center"/>
              <w:rPr>
                <w:sz w:val="22"/>
                <w:szCs w:val="22"/>
              </w:rPr>
            </w:pPr>
            <w:r w:rsidRPr="001B7E23">
              <w:rPr>
                <w:sz w:val="22"/>
                <w:szCs w:val="22"/>
              </w:rPr>
              <w:t>12</w:t>
            </w:r>
            <w:r w:rsidR="001B7E23" w:rsidRPr="001B7E23">
              <w:rPr>
                <w:sz w:val="22"/>
                <w:szCs w:val="22"/>
              </w:rPr>
              <w:t>0,09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6C90DE6" w14:textId="6120D78D" w:rsidR="00CF698F" w:rsidRPr="001B7E23" w:rsidRDefault="001B7E23" w:rsidP="00130C02">
            <w:pPr>
              <w:jc w:val="center"/>
              <w:rPr>
                <w:sz w:val="22"/>
                <w:szCs w:val="22"/>
              </w:rPr>
            </w:pPr>
            <w:r w:rsidRPr="001B7E23">
              <w:rPr>
                <w:sz w:val="22"/>
                <w:szCs w:val="22"/>
              </w:rPr>
              <w:t>58,28</w:t>
            </w:r>
          </w:p>
        </w:tc>
      </w:tr>
      <w:tr w:rsidR="00592C45" w:rsidRPr="00592C45" w14:paraId="4CD85162" w14:textId="77777777">
        <w:trPr>
          <w:trHeight w:val="44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E8926E" w14:textId="77777777" w:rsidR="00CF698F" w:rsidRPr="003D7CE1" w:rsidRDefault="00000000">
            <w:pPr>
              <w:jc w:val="center"/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34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A466E6A" w14:textId="77777777" w:rsidR="00CF698F" w:rsidRPr="003D7CE1" w:rsidRDefault="00000000">
            <w:pPr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Financijski rashodi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B0693EE" w14:textId="010489C6" w:rsidR="00CF698F" w:rsidRPr="003A283B" w:rsidRDefault="00AD4DAB">
            <w:pPr>
              <w:jc w:val="center"/>
              <w:rPr>
                <w:sz w:val="22"/>
                <w:szCs w:val="22"/>
              </w:rPr>
            </w:pPr>
            <w:r w:rsidRPr="003A283B">
              <w:rPr>
                <w:sz w:val="22"/>
                <w:szCs w:val="22"/>
              </w:rPr>
              <w:t>696,73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665C682" w14:textId="7FDB6EFF" w:rsidR="00FF2BEB" w:rsidRPr="0075500E" w:rsidRDefault="0075500E" w:rsidP="0075500E">
            <w:pPr>
              <w:jc w:val="center"/>
              <w:rPr>
                <w:sz w:val="22"/>
                <w:szCs w:val="22"/>
              </w:rPr>
            </w:pPr>
            <w:r w:rsidRPr="0075500E">
              <w:rPr>
                <w:sz w:val="22"/>
                <w:szCs w:val="22"/>
              </w:rPr>
              <w:t>1.000,00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97D5A24" w14:textId="78512371" w:rsidR="00CF698F" w:rsidRPr="0075500E" w:rsidRDefault="0075500E" w:rsidP="00130C02">
            <w:pPr>
              <w:jc w:val="center"/>
              <w:rPr>
                <w:sz w:val="22"/>
                <w:szCs w:val="22"/>
              </w:rPr>
            </w:pPr>
            <w:r w:rsidRPr="0075500E">
              <w:rPr>
                <w:sz w:val="22"/>
                <w:szCs w:val="22"/>
              </w:rPr>
              <w:t>954,24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8F80D05" w14:textId="37F2593E" w:rsidR="00CF698F" w:rsidRPr="001B7E23" w:rsidRDefault="001B7E23" w:rsidP="00130C02">
            <w:pPr>
              <w:jc w:val="center"/>
              <w:rPr>
                <w:sz w:val="22"/>
                <w:szCs w:val="22"/>
              </w:rPr>
            </w:pPr>
            <w:r w:rsidRPr="001B7E23">
              <w:rPr>
                <w:sz w:val="22"/>
                <w:szCs w:val="22"/>
              </w:rPr>
              <w:t>136,96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18288C" w14:textId="710A4840" w:rsidR="00CF698F" w:rsidRPr="001B7E23" w:rsidRDefault="001B7E23" w:rsidP="00130C02">
            <w:pPr>
              <w:jc w:val="center"/>
              <w:rPr>
                <w:sz w:val="22"/>
                <w:szCs w:val="22"/>
              </w:rPr>
            </w:pPr>
            <w:r w:rsidRPr="001B7E23">
              <w:rPr>
                <w:sz w:val="22"/>
                <w:szCs w:val="22"/>
              </w:rPr>
              <w:t>95,42</w:t>
            </w:r>
          </w:p>
        </w:tc>
      </w:tr>
      <w:tr w:rsidR="00592C45" w:rsidRPr="00592C45" w14:paraId="58C38D86" w14:textId="77777777">
        <w:trPr>
          <w:trHeight w:val="44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B7043B" w14:textId="77777777" w:rsidR="00CF698F" w:rsidRPr="003D7CE1" w:rsidRDefault="00000000">
            <w:pPr>
              <w:jc w:val="center"/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42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2A06EE" w14:textId="77777777" w:rsidR="00CF698F" w:rsidRPr="003D7CE1" w:rsidRDefault="00000000">
            <w:pPr>
              <w:rPr>
                <w:sz w:val="20"/>
                <w:szCs w:val="20"/>
              </w:rPr>
            </w:pPr>
            <w:r w:rsidRPr="003D7CE1">
              <w:rPr>
                <w:sz w:val="22"/>
                <w:szCs w:val="22"/>
              </w:rPr>
              <w:t>Rashodi za nabavu proizvedene imovine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858947B" w14:textId="7827324C" w:rsidR="00CF698F" w:rsidRPr="003A283B" w:rsidRDefault="00AD4DAB">
            <w:pPr>
              <w:jc w:val="center"/>
              <w:rPr>
                <w:sz w:val="22"/>
                <w:szCs w:val="22"/>
              </w:rPr>
            </w:pPr>
            <w:r w:rsidRPr="003A283B">
              <w:rPr>
                <w:sz w:val="22"/>
                <w:szCs w:val="22"/>
              </w:rPr>
              <w:t>981,21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944F91E" w14:textId="63DBADE8" w:rsidR="00CF698F" w:rsidRPr="0075500E" w:rsidRDefault="0075500E" w:rsidP="00FF2BEB">
            <w:pPr>
              <w:jc w:val="center"/>
              <w:rPr>
                <w:sz w:val="22"/>
                <w:szCs w:val="22"/>
              </w:rPr>
            </w:pPr>
            <w:r w:rsidRPr="0075500E">
              <w:rPr>
                <w:sz w:val="22"/>
                <w:szCs w:val="22"/>
              </w:rPr>
              <w:t>500,00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15C3D9" w14:textId="3D278D08" w:rsidR="00CF698F" w:rsidRPr="0075500E" w:rsidRDefault="0075500E" w:rsidP="00130C02">
            <w:pPr>
              <w:jc w:val="center"/>
              <w:rPr>
                <w:sz w:val="22"/>
                <w:szCs w:val="22"/>
              </w:rPr>
            </w:pPr>
            <w:r w:rsidRPr="0075500E">
              <w:rPr>
                <w:sz w:val="22"/>
                <w:szCs w:val="22"/>
              </w:rPr>
              <w:t>0,00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072E68" w14:textId="4602A64E" w:rsidR="00CF698F" w:rsidRPr="001B7E23" w:rsidRDefault="001B7E23" w:rsidP="00130C02">
            <w:pPr>
              <w:jc w:val="center"/>
              <w:rPr>
                <w:sz w:val="22"/>
                <w:szCs w:val="22"/>
              </w:rPr>
            </w:pPr>
            <w:r w:rsidRPr="001B7E23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A8C05B4" w14:textId="6E8703CE" w:rsidR="00CF698F" w:rsidRPr="001B7E23" w:rsidRDefault="001B7E23" w:rsidP="00130C02">
            <w:pPr>
              <w:jc w:val="center"/>
              <w:rPr>
                <w:sz w:val="22"/>
                <w:szCs w:val="22"/>
              </w:rPr>
            </w:pPr>
            <w:r w:rsidRPr="001B7E23">
              <w:rPr>
                <w:sz w:val="22"/>
                <w:szCs w:val="22"/>
              </w:rPr>
              <w:t>0,00</w:t>
            </w:r>
          </w:p>
        </w:tc>
      </w:tr>
      <w:tr w:rsidR="00CF698F" w:rsidRPr="00592C45" w14:paraId="3A9D2F8C" w14:textId="77777777">
        <w:trPr>
          <w:trHeight w:val="44"/>
        </w:trPr>
        <w:tc>
          <w:tcPr>
            <w:tcW w:w="3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9444A" w14:textId="77777777" w:rsidR="00CF698F" w:rsidRPr="003D7CE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CE1">
              <w:rPr>
                <w:b/>
                <w:bCs/>
                <w:sz w:val="22"/>
                <w:szCs w:val="22"/>
              </w:rPr>
              <w:t xml:space="preserve">             Ukupni rashodi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5DB954" w14:textId="521385BF" w:rsidR="00CF698F" w:rsidRPr="003A283B" w:rsidRDefault="00AD4DAB">
            <w:pPr>
              <w:jc w:val="center"/>
              <w:rPr>
                <w:b/>
                <w:bCs/>
                <w:sz w:val="22"/>
                <w:szCs w:val="22"/>
              </w:rPr>
            </w:pPr>
            <w:r w:rsidRPr="003A283B">
              <w:rPr>
                <w:b/>
                <w:bCs/>
                <w:sz w:val="22"/>
                <w:szCs w:val="22"/>
              </w:rPr>
              <w:t>2</w:t>
            </w:r>
            <w:r w:rsidR="003A283B" w:rsidRPr="003A283B">
              <w:rPr>
                <w:b/>
                <w:bCs/>
                <w:sz w:val="22"/>
                <w:szCs w:val="22"/>
              </w:rPr>
              <w:t>13.450,74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39B9B51" w14:textId="0AC137A6" w:rsidR="00CF698F" w:rsidRPr="0075500E" w:rsidRDefault="003A283B" w:rsidP="00FF2BEB">
            <w:pPr>
              <w:jc w:val="center"/>
              <w:rPr>
                <w:b/>
                <w:bCs/>
                <w:sz w:val="22"/>
                <w:szCs w:val="22"/>
              </w:rPr>
            </w:pPr>
            <w:r w:rsidRPr="0075500E">
              <w:rPr>
                <w:b/>
                <w:bCs/>
                <w:sz w:val="22"/>
                <w:szCs w:val="22"/>
              </w:rPr>
              <w:t>567</w:t>
            </w:r>
            <w:r w:rsidR="0075500E" w:rsidRPr="0075500E">
              <w:rPr>
                <w:b/>
                <w:bCs/>
                <w:sz w:val="22"/>
                <w:szCs w:val="22"/>
              </w:rPr>
              <w:t>.510,00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3A23710" w14:textId="08B84A84" w:rsidR="00CF698F" w:rsidRPr="0075500E" w:rsidRDefault="0075500E" w:rsidP="00130C02">
            <w:pPr>
              <w:jc w:val="center"/>
              <w:rPr>
                <w:b/>
                <w:bCs/>
                <w:sz w:val="22"/>
                <w:szCs w:val="22"/>
              </w:rPr>
            </w:pPr>
            <w:r w:rsidRPr="0075500E">
              <w:rPr>
                <w:b/>
                <w:bCs/>
                <w:sz w:val="22"/>
                <w:szCs w:val="22"/>
              </w:rPr>
              <w:t>272.513,57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2722FA" w14:textId="1DE06718" w:rsidR="00CF698F" w:rsidRPr="001B7E23" w:rsidRDefault="00130C02" w:rsidP="00130C02">
            <w:pPr>
              <w:jc w:val="center"/>
              <w:rPr>
                <w:b/>
                <w:bCs/>
                <w:sz w:val="22"/>
                <w:szCs w:val="22"/>
              </w:rPr>
            </w:pPr>
            <w:r w:rsidRPr="001B7E23">
              <w:rPr>
                <w:b/>
                <w:bCs/>
                <w:sz w:val="22"/>
                <w:szCs w:val="22"/>
              </w:rPr>
              <w:t>1</w:t>
            </w:r>
            <w:r w:rsidR="0075500E" w:rsidRPr="001B7E23">
              <w:rPr>
                <w:b/>
                <w:bCs/>
                <w:sz w:val="22"/>
                <w:szCs w:val="22"/>
              </w:rPr>
              <w:t>22,67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759334" w14:textId="012134F8" w:rsidR="00CF698F" w:rsidRPr="001B7E23" w:rsidRDefault="00130C02" w:rsidP="00130C02">
            <w:pPr>
              <w:jc w:val="center"/>
              <w:rPr>
                <w:b/>
                <w:bCs/>
                <w:sz w:val="22"/>
                <w:szCs w:val="22"/>
              </w:rPr>
            </w:pPr>
            <w:r w:rsidRPr="001B7E23">
              <w:rPr>
                <w:b/>
                <w:bCs/>
                <w:sz w:val="22"/>
                <w:szCs w:val="22"/>
              </w:rPr>
              <w:t>4</w:t>
            </w:r>
            <w:r w:rsidR="0075500E" w:rsidRPr="001B7E23">
              <w:rPr>
                <w:b/>
                <w:bCs/>
                <w:sz w:val="22"/>
                <w:szCs w:val="22"/>
              </w:rPr>
              <w:t>8,01</w:t>
            </w:r>
          </w:p>
        </w:tc>
      </w:tr>
    </w:tbl>
    <w:p w14:paraId="3B35D8DD" w14:textId="77777777" w:rsidR="00CF698F" w:rsidRPr="00592C45" w:rsidRDefault="00CF698F">
      <w:pPr>
        <w:tabs>
          <w:tab w:val="right" w:pos="6237"/>
          <w:tab w:val="right" w:pos="8789"/>
        </w:tabs>
        <w:jc w:val="both"/>
        <w:rPr>
          <w:b/>
          <w:bCs/>
          <w:color w:val="EE0000"/>
          <w:sz w:val="22"/>
          <w:szCs w:val="22"/>
        </w:rPr>
      </w:pPr>
    </w:p>
    <w:p w14:paraId="1BCD694F" w14:textId="28281B87" w:rsidR="00CF698F" w:rsidRPr="00592C45" w:rsidRDefault="00000000">
      <w:pPr>
        <w:jc w:val="both"/>
        <w:rPr>
          <w:color w:val="EE0000"/>
          <w:sz w:val="22"/>
          <w:szCs w:val="22"/>
        </w:rPr>
      </w:pPr>
      <w:r w:rsidRPr="001B7E23">
        <w:rPr>
          <w:sz w:val="22"/>
          <w:szCs w:val="22"/>
        </w:rPr>
        <w:t>U izvještajnom razdoblju rashodi su izvršeni u iznosu od</w:t>
      </w:r>
      <w:r w:rsidR="001B7E23" w:rsidRPr="001B7E23">
        <w:rPr>
          <w:sz w:val="22"/>
          <w:szCs w:val="22"/>
        </w:rPr>
        <w:t xml:space="preserve"> 27.513,57</w:t>
      </w:r>
      <w:r w:rsidRPr="001B7E23">
        <w:rPr>
          <w:sz w:val="22"/>
          <w:szCs w:val="22"/>
        </w:rPr>
        <w:t xml:space="preserve"> eura ili </w:t>
      </w:r>
      <w:r w:rsidR="00FA4D10" w:rsidRPr="001B7E23">
        <w:rPr>
          <w:sz w:val="22"/>
          <w:szCs w:val="22"/>
        </w:rPr>
        <w:t>4</w:t>
      </w:r>
      <w:r w:rsidR="001B7E23" w:rsidRPr="001B7E23">
        <w:rPr>
          <w:sz w:val="22"/>
          <w:szCs w:val="22"/>
        </w:rPr>
        <w:t>8,01</w:t>
      </w:r>
      <w:r w:rsidRPr="001B7E23">
        <w:rPr>
          <w:sz w:val="22"/>
          <w:szCs w:val="22"/>
        </w:rPr>
        <w:t xml:space="preserve">% plana i u odnosu na prethodnu godinu veći su za </w:t>
      </w:r>
      <w:r w:rsidR="00FF2BEB" w:rsidRPr="001B7E23">
        <w:rPr>
          <w:sz w:val="22"/>
          <w:szCs w:val="22"/>
        </w:rPr>
        <w:t>2</w:t>
      </w:r>
      <w:r w:rsidR="001B7E23" w:rsidRPr="001B7E23">
        <w:rPr>
          <w:sz w:val="22"/>
          <w:szCs w:val="22"/>
        </w:rPr>
        <w:t>2</w:t>
      </w:r>
      <w:r w:rsidR="00FF2BEB" w:rsidRPr="001B7E23">
        <w:rPr>
          <w:sz w:val="22"/>
          <w:szCs w:val="22"/>
        </w:rPr>
        <w:t>,</w:t>
      </w:r>
      <w:r w:rsidR="001B7E23" w:rsidRPr="001B7E23">
        <w:rPr>
          <w:sz w:val="22"/>
          <w:szCs w:val="22"/>
        </w:rPr>
        <w:t>67</w:t>
      </w:r>
      <w:r w:rsidRPr="001B7E23">
        <w:rPr>
          <w:sz w:val="22"/>
          <w:szCs w:val="22"/>
        </w:rPr>
        <w:t xml:space="preserve"> %.  </w:t>
      </w:r>
    </w:p>
    <w:p w14:paraId="324DB911" w14:textId="77777777" w:rsidR="00CF698F" w:rsidRPr="00592C45" w:rsidRDefault="00CF698F">
      <w:pPr>
        <w:jc w:val="both"/>
        <w:rPr>
          <w:color w:val="EE0000"/>
        </w:rPr>
      </w:pPr>
    </w:p>
    <w:p w14:paraId="6AC191F2" w14:textId="77777777" w:rsidR="00CF698F" w:rsidRPr="00592C45" w:rsidRDefault="00000000">
      <w:pPr>
        <w:tabs>
          <w:tab w:val="right" w:pos="6237"/>
          <w:tab w:val="right" w:pos="8789"/>
        </w:tabs>
        <w:jc w:val="both"/>
        <w:rPr>
          <w:sz w:val="22"/>
          <w:szCs w:val="22"/>
        </w:rPr>
      </w:pPr>
      <w:r w:rsidRPr="00592C45">
        <w:rPr>
          <w:b/>
          <w:sz w:val="22"/>
          <w:szCs w:val="22"/>
        </w:rPr>
        <w:t>Račun financiranja</w:t>
      </w:r>
    </w:p>
    <w:p w14:paraId="1F08E9C7" w14:textId="388C7EA5" w:rsidR="00CF698F" w:rsidRPr="00592C45" w:rsidRDefault="00000000">
      <w:pPr>
        <w:widowControl w:val="0"/>
        <w:suppressAutoHyphens/>
        <w:jc w:val="both"/>
        <w:rPr>
          <w:sz w:val="22"/>
          <w:szCs w:val="22"/>
        </w:rPr>
      </w:pPr>
      <w:r w:rsidRPr="00592C45">
        <w:rPr>
          <w:rFonts w:eastAsia="Arial Unicode MS"/>
          <w:sz w:val="22"/>
          <w:szCs w:val="22"/>
          <w:lang w:eastAsia="en-US"/>
        </w:rPr>
        <w:t>Do 30.06.202</w:t>
      </w:r>
      <w:r w:rsidR="00592C45" w:rsidRPr="00592C45">
        <w:rPr>
          <w:rFonts w:eastAsia="Arial Unicode MS"/>
          <w:sz w:val="22"/>
          <w:szCs w:val="22"/>
          <w:lang w:eastAsia="en-US"/>
        </w:rPr>
        <w:t>5</w:t>
      </w:r>
      <w:r w:rsidRPr="00592C45">
        <w:rPr>
          <w:rFonts w:eastAsia="Arial Unicode MS"/>
          <w:sz w:val="22"/>
          <w:szCs w:val="22"/>
          <w:lang w:eastAsia="en-US"/>
        </w:rPr>
        <w:t>. godine primici i izdaci nisu ostvareni.</w:t>
      </w:r>
    </w:p>
    <w:p w14:paraId="33FD2A3F" w14:textId="77777777" w:rsidR="00CF698F" w:rsidRPr="00592C45" w:rsidRDefault="00CF698F">
      <w:pPr>
        <w:rPr>
          <w:b/>
          <w:color w:val="EE0000"/>
          <w:sz w:val="22"/>
          <w:szCs w:val="22"/>
        </w:rPr>
      </w:pPr>
    </w:p>
    <w:p w14:paraId="124A7A26" w14:textId="77777777" w:rsidR="00CF698F" w:rsidRPr="00592C45" w:rsidRDefault="00CF698F">
      <w:pPr>
        <w:tabs>
          <w:tab w:val="right" w:pos="6237"/>
          <w:tab w:val="right" w:pos="8789"/>
        </w:tabs>
        <w:jc w:val="center"/>
        <w:rPr>
          <w:b/>
          <w:sz w:val="22"/>
          <w:szCs w:val="22"/>
        </w:rPr>
      </w:pPr>
    </w:p>
    <w:p w14:paraId="4E3CAD50" w14:textId="77777777" w:rsidR="00CF698F" w:rsidRPr="00592C45" w:rsidRDefault="00000000">
      <w:pPr>
        <w:ind w:firstLine="540"/>
        <w:jc w:val="center"/>
        <w:rPr>
          <w:sz w:val="22"/>
          <w:szCs w:val="22"/>
        </w:rPr>
      </w:pPr>
      <w:r w:rsidRPr="00592C45">
        <w:rPr>
          <w:b/>
          <w:sz w:val="22"/>
          <w:szCs w:val="22"/>
        </w:rPr>
        <w:t>2. POSEBNI DIO PRORAČUNA</w:t>
      </w:r>
    </w:p>
    <w:p w14:paraId="08D1C808" w14:textId="77777777" w:rsidR="00CF698F" w:rsidRPr="00592C45" w:rsidRDefault="00CF698F">
      <w:pPr>
        <w:ind w:firstLine="540"/>
        <w:jc w:val="center"/>
        <w:rPr>
          <w:b/>
        </w:rPr>
      </w:pPr>
    </w:p>
    <w:p w14:paraId="72F398F2" w14:textId="06F385BD" w:rsidR="00CF698F" w:rsidRPr="00592C45" w:rsidRDefault="00000000">
      <w:pPr>
        <w:jc w:val="both"/>
        <w:rPr>
          <w:sz w:val="22"/>
          <w:szCs w:val="22"/>
        </w:rPr>
      </w:pPr>
      <w:r w:rsidRPr="00592C45">
        <w:rPr>
          <w:sz w:val="22"/>
          <w:szCs w:val="22"/>
        </w:rPr>
        <w:t>Posebni dio Izvještaja o polugodišnjem izvršenju plana za 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>. godinu sadrži:</w:t>
      </w:r>
    </w:p>
    <w:p w14:paraId="063F650B" w14:textId="77777777" w:rsidR="00CF698F" w:rsidRPr="00592C45" w:rsidRDefault="00000000">
      <w:pPr>
        <w:numPr>
          <w:ilvl w:val="0"/>
          <w:numId w:val="3"/>
        </w:numPr>
        <w:jc w:val="both"/>
        <w:rPr>
          <w:sz w:val="22"/>
          <w:szCs w:val="22"/>
        </w:rPr>
      </w:pPr>
      <w:r w:rsidRPr="00592C45">
        <w:rPr>
          <w:sz w:val="22"/>
          <w:szCs w:val="22"/>
        </w:rPr>
        <w:t>izvršenje po organizacijskoj klasifikaciji,</w:t>
      </w:r>
    </w:p>
    <w:p w14:paraId="4914047A" w14:textId="77777777" w:rsidR="00CF698F" w:rsidRPr="00592C45" w:rsidRDefault="00000000">
      <w:pPr>
        <w:numPr>
          <w:ilvl w:val="0"/>
          <w:numId w:val="3"/>
        </w:numPr>
        <w:jc w:val="both"/>
        <w:rPr>
          <w:sz w:val="22"/>
          <w:szCs w:val="22"/>
        </w:rPr>
      </w:pPr>
      <w:r w:rsidRPr="00592C45">
        <w:rPr>
          <w:sz w:val="22"/>
          <w:szCs w:val="22"/>
        </w:rPr>
        <w:t>izvršenje po programskoj klasifikaciji</w:t>
      </w:r>
    </w:p>
    <w:p w14:paraId="1FFC9FFA" w14:textId="77777777" w:rsidR="00CF698F" w:rsidRPr="00592C45" w:rsidRDefault="00CF698F">
      <w:pPr>
        <w:contextualSpacing/>
        <w:jc w:val="both"/>
        <w:rPr>
          <w:color w:val="EE0000"/>
          <w:sz w:val="22"/>
          <w:szCs w:val="22"/>
        </w:rPr>
      </w:pPr>
    </w:p>
    <w:p w14:paraId="399203A0" w14:textId="77777777" w:rsidR="00CF698F" w:rsidRPr="00592C45" w:rsidRDefault="00000000">
      <w:pPr>
        <w:contextualSpacing/>
        <w:jc w:val="both"/>
        <w:rPr>
          <w:sz w:val="22"/>
          <w:szCs w:val="22"/>
        </w:rPr>
      </w:pPr>
      <w:r w:rsidRPr="00592C45">
        <w:rPr>
          <w:b/>
          <w:sz w:val="22"/>
          <w:szCs w:val="22"/>
        </w:rPr>
        <w:t>Izvršenje po organizacijskoj klasifikaciji</w:t>
      </w:r>
    </w:p>
    <w:p w14:paraId="31A1E7BE" w14:textId="7CD8B7AF" w:rsidR="00CF698F" w:rsidRPr="00592C45" w:rsidRDefault="00000000">
      <w:pPr>
        <w:jc w:val="both"/>
        <w:rPr>
          <w:sz w:val="22"/>
          <w:szCs w:val="22"/>
        </w:rPr>
      </w:pPr>
      <w:r w:rsidRPr="00592C45">
        <w:rPr>
          <w:sz w:val="22"/>
          <w:szCs w:val="22"/>
        </w:rPr>
        <w:t xml:space="preserve">Izvještaj o izvršenju po organizacijskoj klasifikaciji daje pregled izvršenja plana po razdjelima i glavama. Iz navedenog izvještaja vidljivo je da su ukupni rashodi u iznosu od </w:t>
      </w:r>
      <w:r w:rsidR="00554893" w:rsidRPr="00592C45">
        <w:rPr>
          <w:sz w:val="22"/>
          <w:szCs w:val="22"/>
        </w:rPr>
        <w:t>213.450,74</w:t>
      </w:r>
      <w:r w:rsidRPr="00592C45">
        <w:rPr>
          <w:sz w:val="22"/>
          <w:szCs w:val="22"/>
        </w:rPr>
        <w:t xml:space="preserve"> eura izvršeni kroz jedan razdjel</w:t>
      </w:r>
    </w:p>
    <w:p w14:paraId="2B443CF7" w14:textId="77777777" w:rsidR="00CF698F" w:rsidRPr="00592C45" w:rsidRDefault="00000000">
      <w:pPr>
        <w:jc w:val="both"/>
        <w:rPr>
          <w:sz w:val="22"/>
          <w:szCs w:val="22"/>
        </w:rPr>
      </w:pPr>
      <w:r w:rsidRPr="00592C45">
        <w:rPr>
          <w:sz w:val="22"/>
          <w:szCs w:val="22"/>
        </w:rPr>
        <w:t xml:space="preserve">Razdjel 002 - Jedinstveni upravni odjel koji se sastoji od jedne glave: </w:t>
      </w:r>
    </w:p>
    <w:p w14:paraId="73E39A82" w14:textId="77777777" w:rsidR="00CF698F" w:rsidRPr="00592C45" w:rsidRDefault="00000000">
      <w:pPr>
        <w:jc w:val="both"/>
        <w:rPr>
          <w:sz w:val="22"/>
          <w:szCs w:val="22"/>
        </w:rPr>
      </w:pPr>
      <w:r w:rsidRPr="00592C45">
        <w:rPr>
          <w:sz w:val="22"/>
          <w:szCs w:val="22"/>
        </w:rPr>
        <w:t>glava 09 – Javne ustanove predškolskog odgoja.</w:t>
      </w:r>
    </w:p>
    <w:p w14:paraId="7DAB51B4" w14:textId="77777777" w:rsidR="00CF698F" w:rsidRPr="00592C45" w:rsidRDefault="00CF698F">
      <w:pPr>
        <w:jc w:val="both"/>
        <w:rPr>
          <w:sz w:val="22"/>
          <w:szCs w:val="22"/>
        </w:rPr>
      </w:pPr>
    </w:p>
    <w:p w14:paraId="306A568F" w14:textId="77777777" w:rsidR="00CF698F" w:rsidRPr="00592C45" w:rsidRDefault="00000000">
      <w:pPr>
        <w:jc w:val="both"/>
        <w:rPr>
          <w:sz w:val="22"/>
          <w:szCs w:val="22"/>
        </w:rPr>
      </w:pPr>
      <w:r w:rsidRPr="00592C45">
        <w:rPr>
          <w:b/>
          <w:sz w:val="22"/>
          <w:szCs w:val="22"/>
        </w:rPr>
        <w:t>Izvršenje po programskoj klasifikaciji</w:t>
      </w:r>
    </w:p>
    <w:p w14:paraId="7A8782A3" w14:textId="77777777" w:rsidR="00CF698F" w:rsidRPr="00592C45" w:rsidRDefault="00000000">
      <w:pPr>
        <w:jc w:val="both"/>
        <w:rPr>
          <w:sz w:val="22"/>
          <w:szCs w:val="22"/>
        </w:rPr>
      </w:pPr>
      <w:r w:rsidRPr="00592C45">
        <w:rPr>
          <w:sz w:val="22"/>
          <w:szCs w:val="22"/>
        </w:rPr>
        <w:lastRenderedPageBreak/>
        <w:t xml:space="preserve">Izvještaj o izvršenju po programskoj klasifikaciji daje detaljan pregled izvršenja plana po razdjelima, glavama, programima, aktivnostima i projektima. </w:t>
      </w:r>
    </w:p>
    <w:p w14:paraId="3BABAD7D" w14:textId="77777777" w:rsidR="00CF698F" w:rsidRPr="00592C45" w:rsidRDefault="00CF698F">
      <w:pPr>
        <w:ind w:left="360"/>
        <w:jc w:val="both"/>
        <w:rPr>
          <w:sz w:val="22"/>
          <w:szCs w:val="22"/>
        </w:rPr>
      </w:pPr>
    </w:p>
    <w:p w14:paraId="442B5B11" w14:textId="77777777" w:rsidR="00CF698F" w:rsidRPr="00592C45" w:rsidRDefault="00000000">
      <w:pPr>
        <w:rPr>
          <w:sz w:val="22"/>
          <w:szCs w:val="22"/>
        </w:rPr>
      </w:pPr>
      <w:r w:rsidRPr="00592C45">
        <w:rPr>
          <w:b/>
          <w:sz w:val="22"/>
          <w:szCs w:val="22"/>
          <w:u w:val="single"/>
        </w:rPr>
        <w:t>RAZDJEL 002 JEDINSTVENI UPRAVNI ODJEL</w:t>
      </w:r>
    </w:p>
    <w:p w14:paraId="4E518007" w14:textId="77777777" w:rsidR="00CF698F" w:rsidRPr="00592C45" w:rsidRDefault="00000000">
      <w:pPr>
        <w:rPr>
          <w:sz w:val="22"/>
          <w:szCs w:val="22"/>
        </w:rPr>
      </w:pPr>
      <w:r w:rsidRPr="00592C45">
        <w:rPr>
          <w:b/>
          <w:sz w:val="22"/>
          <w:szCs w:val="22"/>
          <w:u w:val="single"/>
        </w:rPr>
        <w:t>Glava 09 JAVNE USTANOVE PREDŠKOLSKOG ODGOJA</w:t>
      </w:r>
    </w:p>
    <w:p w14:paraId="27A9791E" w14:textId="77777777" w:rsidR="00CF698F" w:rsidRPr="00592C45" w:rsidRDefault="00000000">
      <w:pPr>
        <w:rPr>
          <w:sz w:val="22"/>
          <w:szCs w:val="22"/>
        </w:rPr>
      </w:pPr>
      <w:r w:rsidRPr="00592C45">
        <w:rPr>
          <w:sz w:val="22"/>
          <w:szCs w:val="22"/>
          <w:u w:val="single"/>
        </w:rPr>
        <w:t>PROGRAM 1013 REDOVNA DJELATNOST RANOG I PREDŠKOLSKOG ODGOJA I OBRAZOVANJA</w:t>
      </w:r>
    </w:p>
    <w:p w14:paraId="2B982EF2" w14:textId="77777777" w:rsidR="00CF698F" w:rsidRPr="00592C45" w:rsidRDefault="00CF698F">
      <w:pPr>
        <w:jc w:val="both"/>
        <w:rPr>
          <w:color w:val="EE0000"/>
          <w:u w:val="single"/>
        </w:rPr>
      </w:pPr>
    </w:p>
    <w:p w14:paraId="084DB27D" w14:textId="1BB3082B" w:rsidR="00CF698F" w:rsidRPr="00BB7149" w:rsidRDefault="00000000">
      <w:pPr>
        <w:jc w:val="both"/>
        <w:rPr>
          <w:sz w:val="22"/>
          <w:szCs w:val="22"/>
        </w:rPr>
      </w:pPr>
      <w:r w:rsidRPr="00BB7149">
        <w:rPr>
          <w:sz w:val="22"/>
          <w:szCs w:val="22"/>
        </w:rPr>
        <w:t xml:space="preserve">Aktivnost Odgojno i tehničko osoblje, jaslice i vrtić je ostvarena je u iznosu od </w:t>
      </w:r>
      <w:r w:rsidR="00BB7149" w:rsidRPr="00BB7149">
        <w:rPr>
          <w:sz w:val="22"/>
          <w:szCs w:val="22"/>
        </w:rPr>
        <w:t xml:space="preserve">272.513,57 </w:t>
      </w:r>
      <w:r w:rsidRPr="00BB7149">
        <w:rPr>
          <w:sz w:val="22"/>
          <w:szCs w:val="22"/>
        </w:rPr>
        <w:t xml:space="preserve">eura i u odnosu na plan iznosi </w:t>
      </w:r>
      <w:r w:rsidR="00BB7149" w:rsidRPr="00BB7149">
        <w:rPr>
          <w:sz w:val="22"/>
          <w:szCs w:val="22"/>
        </w:rPr>
        <w:t>48,01</w:t>
      </w:r>
      <w:r w:rsidRPr="00BB7149">
        <w:rPr>
          <w:sz w:val="22"/>
          <w:szCs w:val="22"/>
        </w:rPr>
        <w:t xml:space="preserve"> %, a odnosi se na:</w:t>
      </w:r>
    </w:p>
    <w:p w14:paraId="27C51E35" w14:textId="63C3F324" w:rsidR="00CF698F" w:rsidRPr="00BB7149" w:rsidRDefault="00000000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BB7149">
        <w:rPr>
          <w:sz w:val="22"/>
          <w:szCs w:val="22"/>
        </w:rPr>
        <w:t xml:space="preserve">rashode za zaposlene u iznosu od </w:t>
      </w:r>
      <w:r w:rsidR="00BB7149" w:rsidRPr="00BB7149">
        <w:rPr>
          <w:sz w:val="22"/>
          <w:szCs w:val="22"/>
        </w:rPr>
        <w:t>218.840,63</w:t>
      </w:r>
      <w:r w:rsidRPr="00BB7149">
        <w:rPr>
          <w:sz w:val="22"/>
          <w:szCs w:val="22"/>
        </w:rPr>
        <w:t xml:space="preserve"> eura što čini </w:t>
      </w:r>
      <w:r w:rsidR="009F6557" w:rsidRPr="00BB7149">
        <w:rPr>
          <w:sz w:val="22"/>
          <w:szCs w:val="22"/>
        </w:rPr>
        <w:t>46,</w:t>
      </w:r>
      <w:r w:rsidR="00BB7149" w:rsidRPr="00BB7149">
        <w:rPr>
          <w:sz w:val="22"/>
          <w:szCs w:val="22"/>
        </w:rPr>
        <w:t>02</w:t>
      </w:r>
      <w:r w:rsidRPr="00BB7149">
        <w:rPr>
          <w:sz w:val="22"/>
          <w:szCs w:val="22"/>
        </w:rPr>
        <w:t>% tekućeg plana, a obuhvaćaju bruto plaće i ostale rashode za zaposlene,</w:t>
      </w:r>
    </w:p>
    <w:p w14:paraId="5024A4F4" w14:textId="743162ED" w:rsidR="00CF698F" w:rsidRPr="00BB7149" w:rsidRDefault="00000000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BB7149">
        <w:rPr>
          <w:sz w:val="22"/>
          <w:szCs w:val="22"/>
        </w:rPr>
        <w:t xml:space="preserve">materijalne rashode u iznosu od </w:t>
      </w:r>
      <w:r w:rsidR="00BB7149" w:rsidRPr="00BB7149">
        <w:rPr>
          <w:sz w:val="22"/>
          <w:szCs w:val="22"/>
        </w:rPr>
        <w:t>52.718,70</w:t>
      </w:r>
      <w:r w:rsidRPr="00BB7149">
        <w:rPr>
          <w:sz w:val="22"/>
          <w:szCs w:val="22"/>
        </w:rPr>
        <w:t xml:space="preserve"> eura što čini </w:t>
      </w:r>
      <w:r w:rsidR="00BB7149" w:rsidRPr="00BB7149">
        <w:rPr>
          <w:sz w:val="22"/>
          <w:szCs w:val="22"/>
        </w:rPr>
        <w:t>58,28</w:t>
      </w:r>
      <w:r w:rsidRPr="00BB7149">
        <w:rPr>
          <w:sz w:val="22"/>
          <w:szCs w:val="22"/>
        </w:rPr>
        <w:t xml:space="preserve">% tekućeg plana, a obuhvaćaju naknade troškova zaposlenima, rashode za materijal i energiju, rashode za usluge i </w:t>
      </w:r>
      <w:r w:rsidR="00BB7149" w:rsidRPr="00BB7149">
        <w:rPr>
          <w:sz w:val="22"/>
          <w:szCs w:val="22"/>
        </w:rPr>
        <w:t>ostale nespomenute rashode poslovanja</w:t>
      </w:r>
      <w:r w:rsidRPr="00BB7149">
        <w:rPr>
          <w:sz w:val="22"/>
          <w:szCs w:val="22"/>
        </w:rPr>
        <w:t>,</w:t>
      </w:r>
    </w:p>
    <w:p w14:paraId="28D90C58" w14:textId="5BED895F" w:rsidR="00CF698F" w:rsidRPr="00BB7149" w:rsidRDefault="00000000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BB7149">
        <w:rPr>
          <w:sz w:val="22"/>
          <w:szCs w:val="22"/>
        </w:rPr>
        <w:t xml:space="preserve">financijske rashode u iznosu od </w:t>
      </w:r>
      <w:r w:rsidR="00BB7149" w:rsidRPr="00BB7149">
        <w:rPr>
          <w:sz w:val="22"/>
          <w:szCs w:val="22"/>
        </w:rPr>
        <w:t>954,24</w:t>
      </w:r>
      <w:r w:rsidRPr="00BB7149">
        <w:rPr>
          <w:sz w:val="22"/>
          <w:szCs w:val="22"/>
        </w:rPr>
        <w:t xml:space="preserve"> eura ili </w:t>
      </w:r>
      <w:r w:rsidR="00BB7149" w:rsidRPr="00BB7149">
        <w:rPr>
          <w:sz w:val="22"/>
          <w:szCs w:val="22"/>
        </w:rPr>
        <w:t>95,42</w:t>
      </w:r>
      <w:r w:rsidRPr="00BB7149">
        <w:rPr>
          <w:sz w:val="22"/>
          <w:szCs w:val="22"/>
        </w:rPr>
        <w:t>% tekućeg plana, a obuhvaćaju usluge banaka,</w:t>
      </w:r>
    </w:p>
    <w:p w14:paraId="11BCB039" w14:textId="77777777" w:rsidR="00CF698F" w:rsidRPr="00592C45" w:rsidRDefault="00CF698F">
      <w:pPr>
        <w:ind w:left="720"/>
        <w:contextualSpacing/>
        <w:jc w:val="both"/>
        <w:rPr>
          <w:color w:val="EE0000"/>
          <w:sz w:val="22"/>
          <w:szCs w:val="22"/>
        </w:rPr>
      </w:pPr>
    </w:p>
    <w:p w14:paraId="0EC14185" w14:textId="77777777" w:rsidR="00CF698F" w:rsidRPr="00592C45" w:rsidRDefault="00000000">
      <w:pPr>
        <w:tabs>
          <w:tab w:val="right" w:pos="4536"/>
        </w:tabs>
        <w:jc w:val="center"/>
        <w:rPr>
          <w:b/>
          <w:sz w:val="22"/>
          <w:szCs w:val="22"/>
        </w:rPr>
      </w:pPr>
      <w:r w:rsidRPr="00592C45">
        <w:rPr>
          <w:b/>
          <w:sz w:val="22"/>
          <w:szCs w:val="22"/>
        </w:rPr>
        <w:t>3. OBRAZLOŽENJE POLUGODIŠNJE IZVJEŠTAJA</w:t>
      </w:r>
    </w:p>
    <w:p w14:paraId="26FB3162" w14:textId="77777777" w:rsidR="00CF698F" w:rsidRPr="00592C45" w:rsidRDefault="00CF698F">
      <w:pPr>
        <w:tabs>
          <w:tab w:val="right" w:pos="4536"/>
        </w:tabs>
        <w:jc w:val="center"/>
        <w:rPr>
          <w:b/>
          <w:sz w:val="22"/>
          <w:szCs w:val="22"/>
        </w:rPr>
      </w:pPr>
    </w:p>
    <w:p w14:paraId="0DA23A92" w14:textId="77777777" w:rsidR="00CF698F" w:rsidRPr="00592C45" w:rsidRDefault="00000000">
      <w:pPr>
        <w:tabs>
          <w:tab w:val="right" w:pos="4536"/>
        </w:tabs>
        <w:rPr>
          <w:sz w:val="22"/>
          <w:szCs w:val="22"/>
        </w:rPr>
      </w:pPr>
      <w:r w:rsidRPr="00592C45">
        <w:rPr>
          <w:sz w:val="22"/>
          <w:szCs w:val="22"/>
        </w:rPr>
        <w:t>Obrazloženje polugodišnjeg izvještaja iznijeto je u točkama 1. i 2.</w:t>
      </w:r>
    </w:p>
    <w:p w14:paraId="23ADAED5" w14:textId="77777777" w:rsidR="00CF698F" w:rsidRPr="00592C45" w:rsidRDefault="00CF698F">
      <w:pPr>
        <w:tabs>
          <w:tab w:val="right" w:pos="4536"/>
        </w:tabs>
        <w:rPr>
          <w:b/>
          <w:color w:val="EE0000"/>
          <w:sz w:val="22"/>
          <w:szCs w:val="22"/>
        </w:rPr>
      </w:pPr>
    </w:p>
    <w:p w14:paraId="5918F945" w14:textId="77777777" w:rsidR="00CF698F" w:rsidRPr="00592C45" w:rsidRDefault="00000000">
      <w:pPr>
        <w:tabs>
          <w:tab w:val="right" w:pos="4536"/>
        </w:tabs>
        <w:jc w:val="center"/>
        <w:rPr>
          <w:sz w:val="22"/>
          <w:szCs w:val="22"/>
        </w:rPr>
      </w:pPr>
      <w:r w:rsidRPr="00592C45">
        <w:rPr>
          <w:b/>
          <w:sz w:val="22"/>
          <w:szCs w:val="22"/>
        </w:rPr>
        <w:t>4. IZVJEŠTAJ O KORIŠTENJU SREDSTAVA FONDOVA EUROPSKE UNIJE</w:t>
      </w:r>
    </w:p>
    <w:p w14:paraId="2E1FA861" w14:textId="77777777" w:rsidR="00CF698F" w:rsidRPr="00592C45" w:rsidRDefault="00CF698F">
      <w:pPr>
        <w:tabs>
          <w:tab w:val="right" w:pos="4536"/>
        </w:tabs>
        <w:jc w:val="center"/>
        <w:rPr>
          <w:b/>
        </w:rPr>
      </w:pPr>
    </w:p>
    <w:p w14:paraId="0F8B62B0" w14:textId="04F40199" w:rsidR="00CF698F" w:rsidRPr="00592C45" w:rsidRDefault="00000000">
      <w:pPr>
        <w:tabs>
          <w:tab w:val="right" w:pos="6237"/>
          <w:tab w:val="right" w:pos="8789"/>
        </w:tabs>
        <w:jc w:val="both"/>
        <w:rPr>
          <w:sz w:val="22"/>
          <w:szCs w:val="22"/>
        </w:rPr>
      </w:pPr>
      <w:r w:rsidRPr="00592C45">
        <w:rPr>
          <w:sz w:val="22"/>
          <w:szCs w:val="22"/>
        </w:rPr>
        <w:t>Izvještaj o korištenju sredstava fondova Europske unije prikazan je u članku 5. Polugodišnjeg izvještaja o izvršenju financijskog plana Dječjeg vrtića Vlakić Martijanec za razdoblje od 01.01.202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>. do 30.06.202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>. godine.</w:t>
      </w:r>
    </w:p>
    <w:p w14:paraId="7155BE6B" w14:textId="77777777" w:rsidR="00CF698F" w:rsidRPr="00592C45" w:rsidRDefault="00CF698F">
      <w:pPr>
        <w:tabs>
          <w:tab w:val="right" w:pos="6237"/>
          <w:tab w:val="right" w:pos="8789"/>
        </w:tabs>
        <w:jc w:val="center"/>
        <w:rPr>
          <w:b/>
          <w:sz w:val="22"/>
          <w:szCs w:val="22"/>
        </w:rPr>
      </w:pPr>
    </w:p>
    <w:p w14:paraId="01770FD4" w14:textId="77777777" w:rsidR="00CF698F" w:rsidRPr="00592C45" w:rsidRDefault="00000000">
      <w:pPr>
        <w:tabs>
          <w:tab w:val="right" w:pos="6237"/>
          <w:tab w:val="right" w:pos="8789"/>
        </w:tabs>
        <w:jc w:val="center"/>
        <w:rPr>
          <w:sz w:val="22"/>
          <w:szCs w:val="22"/>
        </w:rPr>
      </w:pPr>
      <w:r w:rsidRPr="00592C45">
        <w:rPr>
          <w:b/>
          <w:sz w:val="22"/>
          <w:szCs w:val="22"/>
        </w:rPr>
        <w:t>5. IZVJEŠTAJ O ZADUŽIVANJU NA DOMAĆEM I STRANOM TRŽIŠTU  NOVCA I KAPITALA</w:t>
      </w:r>
    </w:p>
    <w:p w14:paraId="4FA6DC5B" w14:textId="77777777" w:rsidR="00CF698F" w:rsidRPr="00592C45" w:rsidRDefault="00CF698F">
      <w:pPr>
        <w:tabs>
          <w:tab w:val="right" w:pos="6237"/>
          <w:tab w:val="right" w:pos="8789"/>
        </w:tabs>
        <w:jc w:val="center"/>
        <w:rPr>
          <w:b/>
        </w:rPr>
      </w:pPr>
    </w:p>
    <w:p w14:paraId="4F606C92" w14:textId="4BFF2A40" w:rsidR="00CF698F" w:rsidRPr="00592C45" w:rsidRDefault="00000000">
      <w:pPr>
        <w:tabs>
          <w:tab w:val="right" w:pos="6237"/>
          <w:tab w:val="right" w:pos="8789"/>
        </w:tabs>
        <w:jc w:val="both"/>
        <w:rPr>
          <w:sz w:val="22"/>
          <w:szCs w:val="22"/>
        </w:rPr>
      </w:pPr>
      <w:r w:rsidRPr="00592C45">
        <w:rPr>
          <w:sz w:val="22"/>
          <w:szCs w:val="22"/>
        </w:rPr>
        <w:t>Izvještaj o zaduživanju na domaćem i stranom tržištu novca i kapitala prikazan je u članku 6. Polugodišnjeg izvještaja o izvršenju financijskog plana Dječjeg vrtića Vlakić Martijanec za razdoblje od 01.01.202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>. do 30.06.202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>. godine.</w:t>
      </w:r>
    </w:p>
    <w:p w14:paraId="4131F65B" w14:textId="77777777" w:rsidR="00CF698F" w:rsidRPr="00592C45" w:rsidRDefault="00CF698F">
      <w:pPr>
        <w:tabs>
          <w:tab w:val="right" w:pos="6237"/>
          <w:tab w:val="right" w:pos="8789"/>
        </w:tabs>
        <w:rPr>
          <w:color w:val="EE0000"/>
          <w:sz w:val="22"/>
          <w:szCs w:val="22"/>
        </w:rPr>
      </w:pPr>
    </w:p>
    <w:p w14:paraId="34C4C851" w14:textId="77777777" w:rsidR="00CF698F" w:rsidRPr="00592C45" w:rsidRDefault="00000000">
      <w:pPr>
        <w:tabs>
          <w:tab w:val="right" w:pos="6237"/>
          <w:tab w:val="right" w:pos="8789"/>
        </w:tabs>
        <w:jc w:val="center"/>
        <w:rPr>
          <w:sz w:val="22"/>
          <w:szCs w:val="22"/>
        </w:rPr>
      </w:pPr>
      <w:r w:rsidRPr="00592C45">
        <w:rPr>
          <w:b/>
          <w:sz w:val="22"/>
          <w:szCs w:val="22"/>
        </w:rPr>
        <w:t>6. IZVJEŠTAJ O DANIM ZAJMOVIMA I POTRAŽIVANJIMA PO DANIM ZAJMOVIMA</w:t>
      </w:r>
    </w:p>
    <w:p w14:paraId="7C459B4C" w14:textId="77777777" w:rsidR="00CF698F" w:rsidRPr="00592C45" w:rsidRDefault="00CF698F">
      <w:pPr>
        <w:tabs>
          <w:tab w:val="right" w:pos="6237"/>
          <w:tab w:val="right" w:pos="8789"/>
        </w:tabs>
        <w:jc w:val="center"/>
        <w:rPr>
          <w:b/>
        </w:rPr>
      </w:pPr>
    </w:p>
    <w:p w14:paraId="1563A494" w14:textId="31DB55A2" w:rsidR="00CF698F" w:rsidRPr="00592C45" w:rsidRDefault="00000000">
      <w:pPr>
        <w:tabs>
          <w:tab w:val="right" w:pos="6237"/>
          <w:tab w:val="right" w:pos="10206"/>
        </w:tabs>
        <w:jc w:val="both"/>
        <w:rPr>
          <w:sz w:val="22"/>
          <w:szCs w:val="22"/>
        </w:rPr>
      </w:pPr>
      <w:r w:rsidRPr="00592C45">
        <w:rPr>
          <w:sz w:val="22"/>
          <w:szCs w:val="22"/>
        </w:rPr>
        <w:t>Izvještaj o danim zajmovima i potraživanjima po danim zajmovima prikazan je u članku 7. Polugodišnjeg izvještaja o izvršenju financijskog plana Dječjeg vrtića Vlakić Martijanec za razdoblje od 01.01.202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>. do 30.06.202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>. godine.</w:t>
      </w:r>
    </w:p>
    <w:p w14:paraId="2AAD7FE2" w14:textId="77777777" w:rsidR="00CF698F" w:rsidRPr="00592C45" w:rsidRDefault="00CF698F">
      <w:pPr>
        <w:tabs>
          <w:tab w:val="right" w:pos="6237"/>
          <w:tab w:val="right" w:pos="8789"/>
        </w:tabs>
        <w:rPr>
          <w:b/>
        </w:rPr>
      </w:pPr>
    </w:p>
    <w:p w14:paraId="5D0FCAD4" w14:textId="77777777" w:rsidR="00CF698F" w:rsidRPr="00592C45" w:rsidRDefault="00CF698F">
      <w:pPr>
        <w:tabs>
          <w:tab w:val="right" w:pos="6237"/>
          <w:tab w:val="right" w:pos="8789"/>
        </w:tabs>
        <w:rPr>
          <w:sz w:val="22"/>
          <w:szCs w:val="22"/>
        </w:rPr>
      </w:pPr>
    </w:p>
    <w:p w14:paraId="41E51D07" w14:textId="77777777" w:rsidR="00CF698F" w:rsidRPr="00592C45" w:rsidRDefault="00000000">
      <w:pPr>
        <w:tabs>
          <w:tab w:val="right" w:pos="6237"/>
          <w:tab w:val="right" w:pos="8789"/>
        </w:tabs>
        <w:jc w:val="center"/>
        <w:rPr>
          <w:sz w:val="22"/>
          <w:szCs w:val="22"/>
        </w:rPr>
      </w:pPr>
      <w:r w:rsidRPr="00592C45">
        <w:rPr>
          <w:b/>
          <w:sz w:val="22"/>
          <w:szCs w:val="22"/>
        </w:rPr>
        <w:t>7. IZVJEŠTAJ O STANJU POTRAŽIVANJA I DOSPJELIH OBVEZA TE O STANJU POTENCIJALNIH OBVEZA PO OSNOVI SUDSKIH SPOROVA</w:t>
      </w:r>
    </w:p>
    <w:p w14:paraId="0D97729B" w14:textId="77777777" w:rsidR="00CF698F" w:rsidRPr="00592C45" w:rsidRDefault="00CF698F">
      <w:pPr>
        <w:tabs>
          <w:tab w:val="right" w:pos="6237"/>
          <w:tab w:val="right" w:pos="8789"/>
        </w:tabs>
        <w:jc w:val="center"/>
        <w:rPr>
          <w:b/>
        </w:rPr>
      </w:pPr>
    </w:p>
    <w:p w14:paraId="06146EB7" w14:textId="66FE1785" w:rsidR="00CF698F" w:rsidRPr="00592C45" w:rsidRDefault="00000000">
      <w:pPr>
        <w:tabs>
          <w:tab w:val="right" w:pos="6237"/>
          <w:tab w:val="right" w:pos="10206"/>
        </w:tabs>
        <w:jc w:val="both"/>
        <w:rPr>
          <w:sz w:val="22"/>
          <w:szCs w:val="22"/>
        </w:rPr>
      </w:pPr>
      <w:r w:rsidRPr="00592C45">
        <w:rPr>
          <w:sz w:val="22"/>
          <w:szCs w:val="22"/>
        </w:rPr>
        <w:t>Izvještaj o stanju potraživanja i dospjelih obveza te o stanju potencijalnih obveza po osnovi sudskih sporova prikazan je u članku 8. Polugodišnjeg izvještaja o izvršenju financijskog plana Dječjeg vrtića Vlakić Martijanec za razdoblje od 01.01.202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>. do 30.06.202</w:t>
      </w:r>
      <w:r w:rsidR="00592C45" w:rsidRPr="00592C45">
        <w:rPr>
          <w:sz w:val="22"/>
          <w:szCs w:val="22"/>
        </w:rPr>
        <w:t>5</w:t>
      </w:r>
      <w:r w:rsidRPr="00592C45">
        <w:rPr>
          <w:sz w:val="22"/>
          <w:szCs w:val="22"/>
        </w:rPr>
        <w:t>. godine.</w:t>
      </w:r>
    </w:p>
    <w:p w14:paraId="58E8241E" w14:textId="77777777" w:rsidR="00CF698F" w:rsidRPr="00592C45" w:rsidRDefault="00CF698F">
      <w:pPr>
        <w:tabs>
          <w:tab w:val="right" w:pos="6237"/>
          <w:tab w:val="right" w:pos="8789"/>
        </w:tabs>
        <w:rPr>
          <w:color w:val="EE0000"/>
          <w:sz w:val="22"/>
          <w:szCs w:val="22"/>
        </w:rPr>
      </w:pPr>
    </w:p>
    <w:p w14:paraId="5CBE713B" w14:textId="77777777" w:rsidR="00CF698F" w:rsidRPr="00592C45" w:rsidRDefault="00CF698F">
      <w:pPr>
        <w:tabs>
          <w:tab w:val="right" w:pos="6237"/>
          <w:tab w:val="right" w:pos="8789"/>
        </w:tabs>
        <w:rPr>
          <w:color w:val="EE0000"/>
          <w:sz w:val="22"/>
          <w:szCs w:val="22"/>
        </w:rPr>
      </w:pPr>
    </w:p>
    <w:p w14:paraId="110AD893" w14:textId="77777777" w:rsidR="00CF698F" w:rsidRPr="00592C45" w:rsidRDefault="00CF698F">
      <w:pPr>
        <w:tabs>
          <w:tab w:val="right" w:pos="6237"/>
          <w:tab w:val="right" w:pos="8789"/>
        </w:tabs>
        <w:ind w:firstLine="5940"/>
        <w:rPr>
          <w:color w:val="EE0000"/>
          <w:sz w:val="22"/>
          <w:szCs w:val="22"/>
        </w:rPr>
      </w:pPr>
    </w:p>
    <w:p w14:paraId="682347B5" w14:textId="77777777" w:rsidR="00CF698F" w:rsidRPr="00592C45" w:rsidRDefault="00CF698F">
      <w:pPr>
        <w:rPr>
          <w:color w:val="EE0000"/>
          <w:sz w:val="22"/>
          <w:szCs w:val="22"/>
        </w:rPr>
      </w:pPr>
    </w:p>
    <w:p w14:paraId="2C82CF76" w14:textId="77777777" w:rsidR="00CF698F" w:rsidRPr="00592C45" w:rsidRDefault="00CF698F">
      <w:pPr>
        <w:rPr>
          <w:color w:val="EE0000"/>
          <w:sz w:val="22"/>
          <w:szCs w:val="22"/>
        </w:rPr>
      </w:pPr>
    </w:p>
    <w:sectPr w:rsidR="00CF698F" w:rsidRPr="00592C45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AA54" w14:textId="77777777" w:rsidR="005F5E6E" w:rsidRDefault="005F5E6E">
      <w:r>
        <w:separator/>
      </w:r>
    </w:p>
  </w:endnote>
  <w:endnote w:type="continuationSeparator" w:id="0">
    <w:p w14:paraId="4B93B8C8" w14:textId="77777777" w:rsidR="005F5E6E" w:rsidRDefault="005F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96E0" w14:textId="77777777" w:rsidR="005F5E6E" w:rsidRDefault="005F5E6E">
      <w:r>
        <w:separator/>
      </w:r>
    </w:p>
  </w:footnote>
  <w:footnote w:type="continuationSeparator" w:id="0">
    <w:p w14:paraId="28FAF834" w14:textId="77777777" w:rsidR="005F5E6E" w:rsidRDefault="005F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DEF6E56B"/>
    <w:multiLevelType w:val="singleLevel"/>
    <w:tmpl w:val="DEF6E56B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tabs>
          <w:tab w:val="left" w:pos="754"/>
        </w:tabs>
        <w:ind w:left="754" w:hanging="174"/>
      </w:pPr>
      <w:rPr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left" w:pos="1508"/>
        </w:tabs>
        <w:ind w:left="1508" w:hanging="174"/>
      </w:pPr>
      <w:rPr>
        <w:sz w:val="24"/>
        <w:szCs w:val="24"/>
      </w:rPr>
    </w:lvl>
    <w:lvl w:ilvl="2">
      <w:start w:val="1"/>
      <w:numFmt w:val="upperRoman"/>
      <w:lvlText w:val="%3."/>
      <w:lvlJc w:val="right"/>
      <w:pPr>
        <w:tabs>
          <w:tab w:val="left" w:pos="1191"/>
        </w:tabs>
        <w:ind w:left="1191" w:hanging="174"/>
      </w:pPr>
      <w:rPr>
        <w:sz w:val="24"/>
        <w:szCs w:val="24"/>
      </w:rPr>
    </w:lvl>
    <w:lvl w:ilvl="3">
      <w:start w:val="1"/>
      <w:numFmt w:val="upperRoman"/>
      <w:lvlText w:val="%4."/>
      <w:lvlJc w:val="right"/>
      <w:pPr>
        <w:tabs>
          <w:tab w:val="left" w:pos="2262"/>
        </w:tabs>
        <w:ind w:left="2262" w:hanging="174"/>
      </w:pPr>
      <w:rPr>
        <w:sz w:val="24"/>
        <w:szCs w:val="24"/>
      </w:rPr>
    </w:lvl>
    <w:lvl w:ilvl="4">
      <w:start w:val="1"/>
      <w:numFmt w:val="upperRoman"/>
      <w:lvlText w:val="%5."/>
      <w:lvlJc w:val="right"/>
      <w:pPr>
        <w:tabs>
          <w:tab w:val="left" w:pos="3016"/>
        </w:tabs>
        <w:ind w:left="3016" w:hanging="174"/>
      </w:pPr>
      <w:rPr>
        <w:sz w:val="24"/>
        <w:szCs w:val="24"/>
      </w:rPr>
    </w:lvl>
    <w:lvl w:ilvl="5">
      <w:start w:val="1"/>
      <w:numFmt w:val="upperRoman"/>
      <w:lvlText w:val="%6."/>
      <w:lvlJc w:val="right"/>
      <w:pPr>
        <w:tabs>
          <w:tab w:val="left" w:pos="3771"/>
        </w:tabs>
        <w:ind w:left="3771" w:hanging="174"/>
      </w:pPr>
      <w:rPr>
        <w:sz w:val="24"/>
        <w:szCs w:val="24"/>
      </w:rPr>
    </w:lvl>
    <w:lvl w:ilvl="6">
      <w:start w:val="1"/>
      <w:numFmt w:val="upperRoman"/>
      <w:lvlText w:val="%7."/>
      <w:lvlJc w:val="right"/>
      <w:pPr>
        <w:tabs>
          <w:tab w:val="left" w:pos="4525"/>
        </w:tabs>
        <w:ind w:left="4525" w:hanging="174"/>
      </w:pPr>
      <w:rPr>
        <w:sz w:val="24"/>
        <w:szCs w:val="24"/>
      </w:rPr>
    </w:lvl>
    <w:lvl w:ilvl="7">
      <w:start w:val="1"/>
      <w:numFmt w:val="upperRoman"/>
      <w:lvlText w:val="%8."/>
      <w:lvlJc w:val="right"/>
      <w:pPr>
        <w:tabs>
          <w:tab w:val="left" w:pos="5279"/>
        </w:tabs>
        <w:ind w:left="5279" w:hanging="174"/>
      </w:pPr>
      <w:rPr>
        <w:sz w:val="24"/>
        <w:szCs w:val="24"/>
      </w:rPr>
    </w:lvl>
    <w:lvl w:ilvl="8">
      <w:start w:val="1"/>
      <w:numFmt w:val="upperRoman"/>
      <w:lvlText w:val="%9."/>
      <w:lvlJc w:val="right"/>
      <w:pPr>
        <w:tabs>
          <w:tab w:val="left" w:pos="6033"/>
        </w:tabs>
        <w:ind w:left="6033" w:hanging="174"/>
      </w:pPr>
      <w:rPr>
        <w:sz w:val="24"/>
        <w:szCs w:val="24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98065496">
    <w:abstractNumId w:val="2"/>
  </w:num>
  <w:num w:numId="2" w16cid:durableId="160825713">
    <w:abstractNumId w:val="1"/>
  </w:num>
  <w:num w:numId="3" w16cid:durableId="909847029">
    <w:abstractNumId w:val="0"/>
  </w:num>
  <w:num w:numId="4" w16cid:durableId="600068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98F"/>
    <w:rsid w:val="00054641"/>
    <w:rsid w:val="000D4108"/>
    <w:rsid w:val="00130C02"/>
    <w:rsid w:val="001B7E23"/>
    <w:rsid w:val="00236622"/>
    <w:rsid w:val="00347D70"/>
    <w:rsid w:val="003A283B"/>
    <w:rsid w:val="003D7CE1"/>
    <w:rsid w:val="0046060F"/>
    <w:rsid w:val="00515A08"/>
    <w:rsid w:val="00554893"/>
    <w:rsid w:val="00592C45"/>
    <w:rsid w:val="005E22D6"/>
    <w:rsid w:val="005F5E6E"/>
    <w:rsid w:val="00675042"/>
    <w:rsid w:val="0075500E"/>
    <w:rsid w:val="00885A53"/>
    <w:rsid w:val="00946486"/>
    <w:rsid w:val="009F6557"/>
    <w:rsid w:val="00A318E8"/>
    <w:rsid w:val="00A663D8"/>
    <w:rsid w:val="00AD4DAB"/>
    <w:rsid w:val="00BB7149"/>
    <w:rsid w:val="00CF698F"/>
    <w:rsid w:val="00E06521"/>
    <w:rsid w:val="00FA4D10"/>
    <w:rsid w:val="00FC1644"/>
    <w:rsid w:val="00FF2BEB"/>
    <w:rsid w:val="0E636600"/>
    <w:rsid w:val="192419B1"/>
    <w:rsid w:val="1BA65613"/>
    <w:rsid w:val="39C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AB2B"/>
  <w15:docId w15:val="{824711BD-3B3F-46D2-BDEF-13BF9090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Opisslike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Popis">
    <w:name w:val="List"/>
    <w:basedOn w:val="Tijeloteksta"/>
    <w:rPr>
      <w:rFonts w:cs="Arial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7F7F7F" w:themeColor="text1" w:themeTint="80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rFonts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Times New Roman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Times New Roman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Times New Roman"/>
      <w:sz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Times New Roman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Times New Roman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Times New Roman"/>
      <w:sz w:val="24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Times New Roman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Times New Roman"/>
      <w:sz w:val="22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NumberingSymbols">
    <w:name w:val="Numbering Symbols"/>
    <w:qFormat/>
    <w:rPr>
      <w:sz w:val="24"/>
      <w:szCs w:val="24"/>
    </w:rPr>
  </w:style>
  <w:style w:type="character" w:customStyle="1" w:styleId="ListLabel76">
    <w:name w:val="ListLabel 76"/>
    <w:qFormat/>
    <w:rPr>
      <w:rFonts w:cs="Times New Roman"/>
      <w:sz w:val="22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  <w:sz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  <w:sz w:val="22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sz w:val="24"/>
      <w:szCs w:val="24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5A9F-F7E3-4767-B76C-63B159E1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Nataša Pepelko</cp:lastModifiedBy>
  <cp:revision>125</cp:revision>
  <cp:lastPrinted>2025-07-15T11:56:00Z</cp:lastPrinted>
  <dcterms:created xsi:type="dcterms:W3CDTF">2017-04-25T08:14:00Z</dcterms:created>
  <dcterms:modified xsi:type="dcterms:W3CDTF">2025-07-15T11:57:00Z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1033-11.2.0.11537</vt:lpwstr>
  </property>
  <property fmtid="{D5CDD505-2E9C-101B-9397-08002B2CF9AE}" pid="9" name="ICV">
    <vt:lpwstr>CBEF4FF9CF9C4B848CBD001A236A0154</vt:lpwstr>
  </property>
</Properties>
</file>